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22CF05" w14:textId="77777777" w:rsidR="00C74986" w:rsidRDefault="00C74986" w:rsidP="00B34D2B">
      <w:pPr>
        <w:spacing w:line="240" w:lineRule="auto"/>
        <w:jc w:val="center"/>
        <w:outlineLvl w:val="0"/>
        <w:rPr>
          <w:rFonts w:cs="Arial"/>
          <w:b/>
          <w:sz w:val="28"/>
          <w:szCs w:val="28"/>
        </w:rPr>
      </w:pPr>
      <w:bookmarkStart w:id="0" w:name="_GoBack"/>
      <w:bookmarkEnd w:id="0"/>
    </w:p>
    <w:p w14:paraId="186232CB" w14:textId="77777777" w:rsidR="008D223F" w:rsidRDefault="008D223F" w:rsidP="00B34D2B">
      <w:pPr>
        <w:spacing w:line="240" w:lineRule="auto"/>
        <w:jc w:val="center"/>
        <w:outlineLvl w:val="0"/>
        <w:rPr>
          <w:rFonts w:cs="Arial"/>
          <w:b/>
          <w:sz w:val="28"/>
          <w:szCs w:val="28"/>
        </w:rPr>
      </w:pPr>
      <w:r w:rsidRPr="005E3B76">
        <w:rPr>
          <w:rFonts w:cs="Arial"/>
          <w:b/>
          <w:sz w:val="28"/>
          <w:szCs w:val="28"/>
        </w:rPr>
        <w:t>POMEMBNE INFORMACIJE IN SKLEPI SKUPŠČINE SKLADA OBRTNIKOV IN PODJETNIKOV (SOP)</w:t>
      </w:r>
    </w:p>
    <w:p w14:paraId="0A435092" w14:textId="77777777" w:rsidR="00B34D2B" w:rsidRPr="005E3B76" w:rsidRDefault="00B34D2B" w:rsidP="00B34D2B">
      <w:pPr>
        <w:spacing w:line="240" w:lineRule="auto"/>
        <w:jc w:val="center"/>
        <w:outlineLvl w:val="0"/>
        <w:rPr>
          <w:rFonts w:cs="Arial"/>
          <w:b/>
          <w:sz w:val="28"/>
          <w:szCs w:val="28"/>
        </w:rPr>
      </w:pPr>
    </w:p>
    <w:p w14:paraId="537694B4" w14:textId="77777777" w:rsidR="00636FA9" w:rsidRDefault="00636FA9" w:rsidP="00B34D2B">
      <w:pPr>
        <w:spacing w:line="240" w:lineRule="auto"/>
        <w:contextualSpacing/>
        <w:rPr>
          <w:rFonts w:cs="Arial"/>
          <w:sz w:val="20"/>
          <w:szCs w:val="20"/>
        </w:rPr>
      </w:pPr>
    </w:p>
    <w:p w14:paraId="0733A8EB" w14:textId="3521BB7A" w:rsidR="00DB6F76" w:rsidRDefault="00636FA9" w:rsidP="008736CE">
      <w:pPr>
        <w:spacing w:line="240" w:lineRule="auto"/>
        <w:contextualSpacing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Dne </w:t>
      </w:r>
      <w:r w:rsidR="00872291">
        <w:rPr>
          <w:rFonts w:cs="Arial"/>
          <w:sz w:val="20"/>
          <w:szCs w:val="20"/>
        </w:rPr>
        <w:t>17.6.202</w:t>
      </w:r>
      <w:r w:rsidR="003F52A0">
        <w:rPr>
          <w:rFonts w:cs="Arial"/>
          <w:sz w:val="20"/>
          <w:szCs w:val="20"/>
        </w:rPr>
        <w:t>1</w:t>
      </w:r>
      <w:r w:rsidR="00872291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je potekala skupščina SOP</w:t>
      </w:r>
      <w:r w:rsidR="005F4066">
        <w:rPr>
          <w:rFonts w:cs="Arial"/>
          <w:sz w:val="20"/>
          <w:szCs w:val="20"/>
        </w:rPr>
        <w:t>. Glavn</w:t>
      </w:r>
      <w:r w:rsidR="00414725">
        <w:rPr>
          <w:rFonts w:cs="Arial"/>
          <w:sz w:val="20"/>
          <w:szCs w:val="20"/>
        </w:rPr>
        <w:t>e</w:t>
      </w:r>
      <w:r w:rsidR="005F4066">
        <w:rPr>
          <w:rFonts w:cs="Arial"/>
          <w:sz w:val="20"/>
          <w:szCs w:val="20"/>
        </w:rPr>
        <w:t xml:space="preserve"> točk</w:t>
      </w:r>
      <w:r w:rsidR="00414725">
        <w:rPr>
          <w:rFonts w:cs="Arial"/>
          <w:sz w:val="20"/>
          <w:szCs w:val="20"/>
        </w:rPr>
        <w:t>e</w:t>
      </w:r>
      <w:r w:rsidR="00921E7E">
        <w:rPr>
          <w:rFonts w:cs="Arial"/>
          <w:sz w:val="20"/>
          <w:szCs w:val="20"/>
        </w:rPr>
        <w:t xml:space="preserve"> dnevnega reda</w:t>
      </w:r>
      <w:r w:rsidR="005F4066">
        <w:rPr>
          <w:rFonts w:cs="Arial"/>
          <w:sz w:val="20"/>
          <w:szCs w:val="20"/>
        </w:rPr>
        <w:t xml:space="preserve"> </w:t>
      </w:r>
      <w:r w:rsidR="00414725">
        <w:rPr>
          <w:rFonts w:cs="Arial"/>
          <w:sz w:val="20"/>
          <w:szCs w:val="20"/>
        </w:rPr>
        <w:t>so</w:t>
      </w:r>
      <w:r w:rsidR="005F4066">
        <w:rPr>
          <w:rFonts w:cs="Arial"/>
          <w:sz w:val="20"/>
          <w:szCs w:val="20"/>
        </w:rPr>
        <w:t xml:space="preserve"> bil</w:t>
      </w:r>
      <w:r w:rsidR="00414725">
        <w:rPr>
          <w:rFonts w:cs="Arial"/>
          <w:sz w:val="20"/>
          <w:szCs w:val="20"/>
        </w:rPr>
        <w:t>e</w:t>
      </w:r>
      <w:r w:rsidR="00872291">
        <w:rPr>
          <w:rFonts w:cs="Arial"/>
          <w:sz w:val="20"/>
          <w:szCs w:val="20"/>
        </w:rPr>
        <w:t xml:space="preserve"> poslovanje SOP v letu 2020</w:t>
      </w:r>
      <w:r w:rsidR="00DB6F76">
        <w:rPr>
          <w:rFonts w:cs="Arial"/>
          <w:sz w:val="20"/>
          <w:szCs w:val="20"/>
        </w:rPr>
        <w:t xml:space="preserve">, izplačilo dodatka </w:t>
      </w:r>
      <w:r w:rsidR="005F4066">
        <w:rPr>
          <w:rFonts w:cs="Arial"/>
          <w:sz w:val="20"/>
          <w:szCs w:val="20"/>
        </w:rPr>
        <w:t xml:space="preserve">zavarovancem </w:t>
      </w:r>
      <w:r w:rsidR="00C368E9">
        <w:rPr>
          <w:rFonts w:cs="Arial"/>
          <w:sz w:val="20"/>
          <w:szCs w:val="20"/>
        </w:rPr>
        <w:t>P</w:t>
      </w:r>
      <w:r w:rsidR="005F4066">
        <w:rPr>
          <w:rFonts w:cs="Arial"/>
          <w:sz w:val="20"/>
          <w:szCs w:val="20"/>
        </w:rPr>
        <w:t>oklicnih pokojninskih zavarovanj</w:t>
      </w:r>
      <w:r w:rsidR="00DB6F76">
        <w:rPr>
          <w:rFonts w:cs="Arial"/>
          <w:sz w:val="20"/>
          <w:szCs w:val="20"/>
        </w:rPr>
        <w:t xml:space="preserve"> (VZA)</w:t>
      </w:r>
      <w:r w:rsidR="00872291">
        <w:rPr>
          <w:rFonts w:cs="Arial"/>
          <w:sz w:val="20"/>
          <w:szCs w:val="20"/>
        </w:rPr>
        <w:t>, imenovanje članov posvetovalnega odbora</w:t>
      </w:r>
      <w:r w:rsidR="00DB6F76">
        <w:rPr>
          <w:rFonts w:cs="Arial"/>
          <w:sz w:val="20"/>
          <w:szCs w:val="20"/>
        </w:rPr>
        <w:t>.</w:t>
      </w:r>
    </w:p>
    <w:p w14:paraId="6C720DF2" w14:textId="77777777" w:rsidR="00636FA9" w:rsidRDefault="00636FA9" w:rsidP="00B34D2B">
      <w:pPr>
        <w:spacing w:line="240" w:lineRule="auto"/>
        <w:contextualSpacing/>
        <w:rPr>
          <w:rFonts w:cs="Arial"/>
          <w:sz w:val="20"/>
          <w:szCs w:val="20"/>
        </w:rPr>
      </w:pPr>
    </w:p>
    <w:p w14:paraId="6E8DF88B" w14:textId="32329001" w:rsidR="00DB6F76" w:rsidRDefault="00DB6F76" w:rsidP="00E80716">
      <w:pPr>
        <w:pStyle w:val="Odstavekseznama"/>
        <w:numPr>
          <w:ilvl w:val="0"/>
          <w:numId w:val="4"/>
        </w:numPr>
        <w:spacing w:line="240" w:lineRule="auto"/>
        <w:ind w:left="357" w:hanging="357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P</w:t>
      </w:r>
      <w:r w:rsidR="00A962B4">
        <w:rPr>
          <w:rFonts w:cs="Arial"/>
          <w:b/>
          <w:sz w:val="20"/>
          <w:szCs w:val="20"/>
        </w:rPr>
        <w:t xml:space="preserve">OSLOVANJE V LETU </w:t>
      </w:r>
      <w:r w:rsidR="00872291">
        <w:rPr>
          <w:rFonts w:cs="Arial"/>
          <w:b/>
          <w:sz w:val="20"/>
          <w:szCs w:val="20"/>
        </w:rPr>
        <w:t>2020</w:t>
      </w:r>
    </w:p>
    <w:p w14:paraId="297508B2" w14:textId="452B4169" w:rsidR="00872291" w:rsidRDefault="00A67205" w:rsidP="00B622D6">
      <w:pPr>
        <w:spacing w:line="240" w:lineRule="auto"/>
        <w:contextualSpacing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Glavni aktivnosti SOP v letu 2020 sta bili </w:t>
      </w:r>
      <w:r w:rsidR="00872291">
        <w:rPr>
          <w:rFonts w:cs="Arial"/>
          <w:sz w:val="20"/>
          <w:szCs w:val="20"/>
        </w:rPr>
        <w:t>ustanavljanj</w:t>
      </w:r>
      <w:r>
        <w:rPr>
          <w:rFonts w:cs="Arial"/>
          <w:sz w:val="20"/>
          <w:szCs w:val="20"/>
        </w:rPr>
        <w:t>e</w:t>
      </w:r>
      <w:r w:rsidR="00872291">
        <w:rPr>
          <w:rFonts w:cs="Arial"/>
          <w:sz w:val="20"/>
          <w:szCs w:val="20"/>
        </w:rPr>
        <w:t xml:space="preserve"> hčerinske družbe </w:t>
      </w:r>
      <w:proofErr w:type="spellStart"/>
      <w:r w:rsidR="00872291">
        <w:rPr>
          <w:rFonts w:cs="Arial"/>
          <w:sz w:val="20"/>
          <w:szCs w:val="20"/>
        </w:rPr>
        <w:t>Avrio</w:t>
      </w:r>
      <w:proofErr w:type="spellEnd"/>
      <w:r w:rsidR="00872291">
        <w:rPr>
          <w:rFonts w:cs="Arial"/>
          <w:sz w:val="20"/>
          <w:szCs w:val="20"/>
        </w:rPr>
        <w:t xml:space="preserve"> Zavarovalnice </w:t>
      </w:r>
      <w:proofErr w:type="spellStart"/>
      <w:r w:rsidR="00872291">
        <w:rPr>
          <w:rFonts w:cs="Arial"/>
          <w:sz w:val="20"/>
          <w:szCs w:val="20"/>
        </w:rPr>
        <w:t>d.d</w:t>
      </w:r>
      <w:proofErr w:type="spellEnd"/>
      <w:r>
        <w:rPr>
          <w:rFonts w:cs="Arial"/>
          <w:sz w:val="20"/>
          <w:szCs w:val="20"/>
        </w:rPr>
        <w:t xml:space="preserve">. </w:t>
      </w:r>
      <w:r w:rsidR="00643463">
        <w:rPr>
          <w:rFonts w:cs="Arial"/>
          <w:sz w:val="20"/>
          <w:szCs w:val="20"/>
        </w:rPr>
        <w:t xml:space="preserve">(Zavarovalnica) </w:t>
      </w:r>
      <w:r>
        <w:rPr>
          <w:rFonts w:cs="Arial"/>
          <w:sz w:val="20"/>
          <w:szCs w:val="20"/>
        </w:rPr>
        <w:t>in obvladovanje</w:t>
      </w:r>
      <w:r w:rsidR="00872291">
        <w:rPr>
          <w:rFonts w:cs="Arial"/>
          <w:sz w:val="20"/>
          <w:szCs w:val="20"/>
        </w:rPr>
        <w:t xml:space="preserve"> poslovanja v pogojih epidemije </w:t>
      </w:r>
      <w:proofErr w:type="spellStart"/>
      <w:r w:rsidR="00872291">
        <w:rPr>
          <w:rFonts w:cs="Arial"/>
          <w:sz w:val="20"/>
          <w:szCs w:val="20"/>
        </w:rPr>
        <w:t>Covid</w:t>
      </w:r>
      <w:proofErr w:type="spellEnd"/>
      <w:r w:rsidR="00872291">
        <w:rPr>
          <w:rFonts w:cs="Arial"/>
          <w:sz w:val="20"/>
          <w:szCs w:val="20"/>
        </w:rPr>
        <w:t xml:space="preserve"> 19. </w:t>
      </w:r>
    </w:p>
    <w:p w14:paraId="411FC890" w14:textId="77777777" w:rsidR="00872291" w:rsidRDefault="00872291" w:rsidP="00B622D6">
      <w:pPr>
        <w:spacing w:line="240" w:lineRule="auto"/>
        <w:contextualSpacing/>
        <w:jc w:val="both"/>
        <w:rPr>
          <w:rFonts w:cs="Arial"/>
          <w:sz w:val="20"/>
          <w:szCs w:val="20"/>
        </w:rPr>
      </w:pPr>
    </w:p>
    <w:p w14:paraId="58CB3E5E" w14:textId="4C3A7A14" w:rsidR="00872291" w:rsidRDefault="00872291" w:rsidP="00B622D6">
      <w:pPr>
        <w:spacing w:line="240" w:lineRule="auto"/>
        <w:contextualSpacing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SOP je konec let</w:t>
      </w:r>
      <w:r w:rsidR="00101C6A">
        <w:rPr>
          <w:rFonts w:cs="Arial"/>
          <w:sz w:val="20"/>
          <w:szCs w:val="20"/>
        </w:rPr>
        <w:t>a</w:t>
      </w:r>
      <w:r>
        <w:rPr>
          <w:rFonts w:cs="Arial"/>
          <w:sz w:val="20"/>
          <w:szCs w:val="20"/>
        </w:rPr>
        <w:t xml:space="preserve"> 2019 pridobil soglasje AZN, da lahko ustanovi zavarovalnico. Formalno je ustan</w:t>
      </w:r>
      <w:r w:rsidR="00643463">
        <w:rPr>
          <w:rFonts w:cs="Arial"/>
          <w:sz w:val="20"/>
          <w:szCs w:val="20"/>
        </w:rPr>
        <w:t xml:space="preserve">ovitev </w:t>
      </w:r>
      <w:proofErr w:type="spellStart"/>
      <w:r w:rsidR="00643463">
        <w:rPr>
          <w:rFonts w:cs="Arial"/>
          <w:sz w:val="20"/>
          <w:szCs w:val="20"/>
        </w:rPr>
        <w:t>Avrio</w:t>
      </w:r>
      <w:proofErr w:type="spellEnd"/>
      <w:r w:rsidR="00643463">
        <w:rPr>
          <w:rFonts w:cs="Arial"/>
          <w:sz w:val="20"/>
          <w:szCs w:val="20"/>
        </w:rPr>
        <w:t xml:space="preserve"> zavarovalnice </w:t>
      </w:r>
      <w:proofErr w:type="spellStart"/>
      <w:r w:rsidR="00643463">
        <w:rPr>
          <w:rFonts w:cs="Arial"/>
          <w:sz w:val="20"/>
          <w:szCs w:val="20"/>
        </w:rPr>
        <w:t>d.d</w:t>
      </w:r>
      <w:proofErr w:type="spellEnd"/>
      <w:r w:rsidR="00643463">
        <w:rPr>
          <w:rFonts w:cs="Arial"/>
          <w:sz w:val="20"/>
          <w:szCs w:val="20"/>
        </w:rPr>
        <w:t xml:space="preserve">. </w:t>
      </w:r>
      <w:r>
        <w:rPr>
          <w:rFonts w:cs="Arial"/>
          <w:sz w:val="20"/>
          <w:szCs w:val="20"/>
        </w:rPr>
        <w:t xml:space="preserve">izvedel </w:t>
      </w:r>
      <w:r w:rsidR="00101C6A">
        <w:rPr>
          <w:rFonts w:cs="Arial"/>
          <w:sz w:val="20"/>
          <w:szCs w:val="20"/>
        </w:rPr>
        <w:t xml:space="preserve">20.11.2019, </w:t>
      </w:r>
      <w:r>
        <w:rPr>
          <w:rFonts w:cs="Arial"/>
          <w:sz w:val="20"/>
          <w:szCs w:val="20"/>
        </w:rPr>
        <w:t xml:space="preserve">v nadaljevanju pa vzpostavil poslovanje, prenesel zaposlene na Zavarovalnico, vzpostavil </w:t>
      </w:r>
      <w:r w:rsidR="00643463">
        <w:rPr>
          <w:rFonts w:cs="Arial"/>
          <w:sz w:val="20"/>
          <w:szCs w:val="20"/>
        </w:rPr>
        <w:t xml:space="preserve">sistem poročanja v skladu z Zakonom o zavarovalništvu (ZZavar-1) </w:t>
      </w:r>
      <w:r>
        <w:rPr>
          <w:rFonts w:cs="Arial"/>
          <w:sz w:val="20"/>
          <w:szCs w:val="20"/>
        </w:rPr>
        <w:t xml:space="preserve">in vpeljal vse procese, ki so potrebni za poslovanje Zavarovalnice. </w:t>
      </w:r>
      <w:r w:rsidR="00FF03C5">
        <w:rPr>
          <w:rFonts w:cs="Arial"/>
          <w:sz w:val="20"/>
          <w:szCs w:val="20"/>
        </w:rPr>
        <w:t>Proti k</w:t>
      </w:r>
      <w:r>
        <w:rPr>
          <w:rFonts w:cs="Arial"/>
          <w:sz w:val="20"/>
          <w:szCs w:val="20"/>
        </w:rPr>
        <w:t>on</w:t>
      </w:r>
      <w:r w:rsidR="00FF03C5">
        <w:rPr>
          <w:rFonts w:cs="Arial"/>
          <w:sz w:val="20"/>
          <w:szCs w:val="20"/>
        </w:rPr>
        <w:t>cu</w:t>
      </w:r>
      <w:r>
        <w:rPr>
          <w:rFonts w:cs="Arial"/>
          <w:sz w:val="20"/>
          <w:szCs w:val="20"/>
        </w:rPr>
        <w:t xml:space="preserve"> leta je Zavarovalnic</w:t>
      </w:r>
      <w:r w:rsidR="00101C6A">
        <w:rPr>
          <w:rFonts w:cs="Arial"/>
          <w:sz w:val="20"/>
          <w:szCs w:val="20"/>
        </w:rPr>
        <w:t>a</w:t>
      </w:r>
      <w:r>
        <w:rPr>
          <w:rFonts w:cs="Arial"/>
          <w:sz w:val="20"/>
          <w:szCs w:val="20"/>
        </w:rPr>
        <w:t xml:space="preserve"> sklenila prve zavarovalne pogodbe.</w:t>
      </w:r>
    </w:p>
    <w:p w14:paraId="6A1A1C19" w14:textId="77777777" w:rsidR="00872291" w:rsidRDefault="00872291" w:rsidP="00B622D6">
      <w:pPr>
        <w:spacing w:line="240" w:lineRule="auto"/>
        <w:contextualSpacing/>
        <w:jc w:val="both"/>
        <w:rPr>
          <w:rFonts w:cs="Arial"/>
          <w:sz w:val="20"/>
          <w:szCs w:val="20"/>
        </w:rPr>
      </w:pPr>
    </w:p>
    <w:p w14:paraId="6B133B19" w14:textId="70B90522" w:rsidR="00872291" w:rsidRDefault="00872291" w:rsidP="00B622D6">
      <w:pPr>
        <w:spacing w:line="240" w:lineRule="auto"/>
        <w:contextualSpacing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V drugi polovici leta je SOP vodil postopek za prenos Rentnih pokojninskih zavarovanj (RPZ) na Zavarovalnico. Postopek je bil zaključen v začetku leta 2021 in prenos zavarovanj je bil izvršen.</w:t>
      </w:r>
      <w:r w:rsidR="00E04BD8">
        <w:rPr>
          <w:rFonts w:cs="Arial"/>
          <w:sz w:val="20"/>
          <w:szCs w:val="20"/>
        </w:rPr>
        <w:t xml:space="preserve"> S tem je SOP izvršil odredbo AZN.</w:t>
      </w:r>
    </w:p>
    <w:p w14:paraId="7400AED9" w14:textId="77777777" w:rsidR="001F2948" w:rsidRDefault="001F2948" w:rsidP="00B622D6">
      <w:pPr>
        <w:spacing w:line="240" w:lineRule="auto"/>
        <w:contextualSpacing/>
        <w:jc w:val="both"/>
        <w:rPr>
          <w:rFonts w:cs="Arial"/>
          <w:sz w:val="20"/>
          <w:szCs w:val="20"/>
        </w:rPr>
      </w:pPr>
    </w:p>
    <w:p w14:paraId="59AD818B" w14:textId="175F2C15" w:rsidR="001F2948" w:rsidRPr="003960AA" w:rsidRDefault="005E540F" w:rsidP="00B622D6">
      <w:pPr>
        <w:spacing w:line="240" w:lineRule="auto"/>
        <w:contextualSpacing/>
        <w:jc w:val="both"/>
        <w:rPr>
          <w:rFonts w:cs="Arial"/>
          <w:sz w:val="20"/>
          <w:szCs w:val="20"/>
        </w:rPr>
      </w:pPr>
      <w:r w:rsidRPr="003960AA">
        <w:rPr>
          <w:rFonts w:cs="Arial"/>
          <w:sz w:val="20"/>
          <w:szCs w:val="20"/>
        </w:rPr>
        <w:t>N</w:t>
      </w:r>
      <w:r w:rsidR="001F2948" w:rsidRPr="003960AA">
        <w:rPr>
          <w:rFonts w:cs="Arial"/>
          <w:sz w:val="20"/>
          <w:szCs w:val="20"/>
        </w:rPr>
        <w:t xml:space="preserve">a tekoče poslovanje je bistveno vplivala epidemija </w:t>
      </w:r>
      <w:proofErr w:type="spellStart"/>
      <w:r w:rsidR="001F2948" w:rsidRPr="003960AA">
        <w:rPr>
          <w:rFonts w:cs="Arial"/>
          <w:sz w:val="20"/>
          <w:szCs w:val="20"/>
        </w:rPr>
        <w:t>Covid</w:t>
      </w:r>
      <w:proofErr w:type="spellEnd"/>
      <w:r w:rsidR="003F52A0" w:rsidRPr="003960AA">
        <w:rPr>
          <w:rFonts w:cs="Arial"/>
          <w:sz w:val="20"/>
          <w:szCs w:val="20"/>
        </w:rPr>
        <w:t xml:space="preserve"> </w:t>
      </w:r>
      <w:r w:rsidR="001F2948" w:rsidRPr="003960AA">
        <w:rPr>
          <w:rFonts w:cs="Arial"/>
          <w:sz w:val="20"/>
          <w:szCs w:val="20"/>
        </w:rPr>
        <w:t xml:space="preserve">19. </w:t>
      </w:r>
    </w:p>
    <w:p w14:paraId="374F1C0E" w14:textId="77777777" w:rsidR="001F2948" w:rsidRPr="003960AA" w:rsidRDefault="001F2948" w:rsidP="00B622D6">
      <w:pPr>
        <w:spacing w:line="240" w:lineRule="auto"/>
        <w:contextualSpacing/>
        <w:jc w:val="both"/>
        <w:rPr>
          <w:rFonts w:cs="Arial"/>
          <w:sz w:val="20"/>
          <w:szCs w:val="20"/>
        </w:rPr>
      </w:pPr>
    </w:p>
    <w:p w14:paraId="4582C931" w14:textId="20FCC455" w:rsidR="00E04BD8" w:rsidRPr="003960AA" w:rsidRDefault="001F2948" w:rsidP="00B622D6">
      <w:pPr>
        <w:spacing w:line="240" w:lineRule="auto"/>
        <w:contextualSpacing/>
        <w:jc w:val="both"/>
        <w:rPr>
          <w:rFonts w:cs="Arial"/>
          <w:sz w:val="20"/>
          <w:szCs w:val="20"/>
        </w:rPr>
      </w:pPr>
      <w:r w:rsidRPr="003960AA">
        <w:rPr>
          <w:rFonts w:cs="Arial"/>
          <w:sz w:val="20"/>
          <w:szCs w:val="20"/>
        </w:rPr>
        <w:t>V marcu se je na finančnih trgih zgodil eden največjih padcev v zgodovini. Z nekaj zamude so države intervenirale z velikimi finančnimi spodbudami, ki so povzročil</w:t>
      </w:r>
      <w:r w:rsidR="00B11428" w:rsidRPr="003960AA">
        <w:rPr>
          <w:rFonts w:cs="Arial"/>
          <w:sz w:val="20"/>
          <w:szCs w:val="20"/>
        </w:rPr>
        <w:t>e</w:t>
      </w:r>
      <w:r w:rsidRPr="003960AA">
        <w:rPr>
          <w:rFonts w:cs="Arial"/>
          <w:sz w:val="20"/>
          <w:szCs w:val="20"/>
        </w:rPr>
        <w:t xml:space="preserve"> rast na finančnih trgi</w:t>
      </w:r>
      <w:r w:rsidR="00B11428" w:rsidRPr="003960AA">
        <w:rPr>
          <w:rFonts w:cs="Arial"/>
          <w:sz w:val="20"/>
          <w:szCs w:val="20"/>
        </w:rPr>
        <w:t>h</w:t>
      </w:r>
      <w:r w:rsidRPr="003960AA">
        <w:rPr>
          <w:rFonts w:cs="Arial"/>
          <w:sz w:val="20"/>
          <w:szCs w:val="20"/>
        </w:rPr>
        <w:t xml:space="preserve"> in do konca leta so bili tečaji ponovno na začetnih </w:t>
      </w:r>
      <w:r w:rsidRPr="003960AA">
        <w:rPr>
          <w:rFonts w:cs="Arial"/>
          <w:sz w:val="20"/>
          <w:szCs w:val="20"/>
        </w:rPr>
        <w:lastRenderedPageBreak/>
        <w:t xml:space="preserve">nivojih. V času začetne negotovosti je SOP </w:t>
      </w:r>
      <w:proofErr w:type="spellStart"/>
      <w:r w:rsidRPr="003960AA">
        <w:rPr>
          <w:rFonts w:cs="Arial"/>
          <w:sz w:val="20"/>
          <w:szCs w:val="20"/>
        </w:rPr>
        <w:t>dezinvestiral</w:t>
      </w:r>
      <w:proofErr w:type="spellEnd"/>
      <w:r w:rsidRPr="003960AA">
        <w:rPr>
          <w:rFonts w:cs="Arial"/>
          <w:sz w:val="20"/>
          <w:szCs w:val="20"/>
        </w:rPr>
        <w:t xml:space="preserve"> </w:t>
      </w:r>
      <w:r w:rsidR="00B11428" w:rsidRPr="003960AA">
        <w:rPr>
          <w:rFonts w:cs="Arial"/>
          <w:sz w:val="20"/>
          <w:szCs w:val="20"/>
        </w:rPr>
        <w:t>in tako</w:t>
      </w:r>
      <w:r w:rsidRPr="003960AA">
        <w:rPr>
          <w:rFonts w:cs="Arial"/>
          <w:sz w:val="20"/>
          <w:szCs w:val="20"/>
        </w:rPr>
        <w:t xml:space="preserve"> zmanjšal tveganje </w:t>
      </w:r>
      <w:r w:rsidR="00B11428" w:rsidRPr="003960AA">
        <w:rPr>
          <w:rFonts w:cs="Arial"/>
          <w:sz w:val="20"/>
          <w:szCs w:val="20"/>
        </w:rPr>
        <w:t>ter</w:t>
      </w:r>
      <w:r w:rsidRPr="003960AA">
        <w:rPr>
          <w:rFonts w:cs="Arial"/>
          <w:sz w:val="20"/>
          <w:szCs w:val="20"/>
        </w:rPr>
        <w:t xml:space="preserve"> nato do konca leta poskušal </w:t>
      </w:r>
      <w:r w:rsidR="0047778F" w:rsidRPr="003960AA">
        <w:rPr>
          <w:rFonts w:cs="Arial"/>
          <w:sz w:val="20"/>
          <w:szCs w:val="20"/>
        </w:rPr>
        <w:t>doseči</w:t>
      </w:r>
      <w:r w:rsidRPr="003960AA">
        <w:rPr>
          <w:rFonts w:cs="Arial"/>
          <w:sz w:val="20"/>
          <w:szCs w:val="20"/>
        </w:rPr>
        <w:t xml:space="preserve"> čim višji donos. Skupni neto finančni rezultat je bil na koncu leta negativen, </w:t>
      </w:r>
      <w:r w:rsidR="00E04BD8" w:rsidRPr="003960AA">
        <w:rPr>
          <w:rFonts w:cs="Arial"/>
          <w:sz w:val="20"/>
          <w:szCs w:val="20"/>
        </w:rPr>
        <w:t>posamični rezultati produktov pa so bili predvsem odvisni od velikosti portfelja. Z manjšimi portfelji je bilo lažje nadoknaditi izgube iz marca. Na večini produktov je SOP dosegel višji donos od konkurence. Po naši oceni bodo velike finančne spodbude glavni vir težav v prihodnosti.</w:t>
      </w:r>
    </w:p>
    <w:p w14:paraId="38AC3DD2" w14:textId="77777777" w:rsidR="00E04BD8" w:rsidRPr="003960AA" w:rsidRDefault="00E04BD8" w:rsidP="00B622D6">
      <w:pPr>
        <w:spacing w:line="240" w:lineRule="auto"/>
        <w:contextualSpacing/>
        <w:jc w:val="both"/>
        <w:rPr>
          <w:rFonts w:cs="Arial"/>
          <w:sz w:val="20"/>
          <w:szCs w:val="20"/>
        </w:rPr>
      </w:pPr>
    </w:p>
    <w:p w14:paraId="61C39C8E" w14:textId="5562F2C7" w:rsidR="00A67205" w:rsidRPr="003960AA" w:rsidRDefault="00A67205" w:rsidP="00A67205">
      <w:pPr>
        <w:spacing w:line="240" w:lineRule="auto"/>
        <w:contextualSpacing/>
        <w:jc w:val="both"/>
        <w:rPr>
          <w:rFonts w:cs="Arial"/>
          <w:sz w:val="20"/>
          <w:szCs w:val="20"/>
        </w:rPr>
      </w:pPr>
      <w:r w:rsidRPr="003960AA">
        <w:rPr>
          <w:rFonts w:cs="Arial"/>
          <w:sz w:val="20"/>
          <w:szCs w:val="20"/>
        </w:rPr>
        <w:t xml:space="preserve">Prodaja pokojninskih zavarovanj SOP je v letu 2020 potekala v pogojih </w:t>
      </w:r>
      <w:proofErr w:type="spellStart"/>
      <w:r w:rsidRPr="003960AA">
        <w:rPr>
          <w:rFonts w:cs="Arial"/>
          <w:sz w:val="20"/>
          <w:szCs w:val="20"/>
        </w:rPr>
        <w:t>Covid</w:t>
      </w:r>
      <w:proofErr w:type="spellEnd"/>
      <w:r w:rsidRPr="003960AA">
        <w:rPr>
          <w:rFonts w:cs="Arial"/>
          <w:sz w:val="20"/>
          <w:szCs w:val="20"/>
        </w:rPr>
        <w:t xml:space="preserve"> 19</w:t>
      </w:r>
      <w:r w:rsidR="00B11428" w:rsidRPr="003960AA">
        <w:rPr>
          <w:rFonts w:cs="Arial"/>
          <w:sz w:val="20"/>
          <w:szCs w:val="20"/>
        </w:rPr>
        <w:t>.</w:t>
      </w:r>
      <w:r w:rsidRPr="003960AA">
        <w:rPr>
          <w:rFonts w:cs="Arial"/>
          <w:sz w:val="20"/>
          <w:szCs w:val="20"/>
        </w:rPr>
        <w:t xml:space="preserve"> </w:t>
      </w:r>
      <w:r w:rsidR="00B11428" w:rsidRPr="003960AA">
        <w:rPr>
          <w:rFonts w:cs="Arial"/>
          <w:sz w:val="20"/>
          <w:szCs w:val="20"/>
        </w:rPr>
        <w:t>Velik</w:t>
      </w:r>
      <w:r w:rsidR="001F2948" w:rsidRPr="003960AA">
        <w:rPr>
          <w:rFonts w:cs="Arial"/>
          <w:sz w:val="20"/>
          <w:szCs w:val="20"/>
        </w:rPr>
        <w:t xml:space="preserve"> del leta pro</w:t>
      </w:r>
      <w:r w:rsidR="00BB0401" w:rsidRPr="003960AA">
        <w:rPr>
          <w:rFonts w:cs="Arial"/>
          <w:sz w:val="20"/>
          <w:szCs w:val="20"/>
        </w:rPr>
        <w:t xml:space="preserve">dajne aktivnosti niso potekale, kar je vplivalo na rezultat. Kljub temu se je neto premija povišala za 2% </w:t>
      </w:r>
      <w:r w:rsidRPr="003960AA">
        <w:rPr>
          <w:rFonts w:cs="Arial"/>
          <w:sz w:val="20"/>
          <w:szCs w:val="20"/>
        </w:rPr>
        <w:t>v primerjavi z leto</w:t>
      </w:r>
      <w:r w:rsidR="00BB0401" w:rsidRPr="003960AA">
        <w:rPr>
          <w:rFonts w:cs="Arial"/>
          <w:sz w:val="20"/>
          <w:szCs w:val="20"/>
        </w:rPr>
        <w:t>m 2019.</w:t>
      </w:r>
      <w:r w:rsidRPr="003960AA">
        <w:rPr>
          <w:rFonts w:cs="Arial"/>
          <w:sz w:val="20"/>
          <w:szCs w:val="20"/>
        </w:rPr>
        <w:t xml:space="preserve"> Povprečna premija novih zavarovan</w:t>
      </w:r>
      <w:r w:rsidR="00BB0401" w:rsidRPr="003960AA">
        <w:rPr>
          <w:rFonts w:cs="Arial"/>
          <w:sz w:val="20"/>
          <w:szCs w:val="20"/>
        </w:rPr>
        <w:t>j</w:t>
      </w:r>
      <w:r w:rsidRPr="003960AA">
        <w:rPr>
          <w:rFonts w:cs="Arial"/>
          <w:sz w:val="20"/>
          <w:szCs w:val="20"/>
        </w:rPr>
        <w:t xml:space="preserve"> se je povečala za 11,5%.</w:t>
      </w:r>
    </w:p>
    <w:p w14:paraId="2868D352" w14:textId="39545354" w:rsidR="001F2948" w:rsidRPr="003960AA" w:rsidRDefault="001F2948" w:rsidP="00B622D6">
      <w:pPr>
        <w:spacing w:line="240" w:lineRule="auto"/>
        <w:contextualSpacing/>
        <w:jc w:val="both"/>
        <w:rPr>
          <w:rFonts w:cs="Arial"/>
          <w:sz w:val="20"/>
          <w:szCs w:val="20"/>
        </w:rPr>
      </w:pPr>
    </w:p>
    <w:p w14:paraId="1CD3BA01" w14:textId="085DCE96" w:rsidR="001F2948" w:rsidRPr="003960AA" w:rsidRDefault="001F2948" w:rsidP="00B622D6">
      <w:pPr>
        <w:spacing w:line="240" w:lineRule="auto"/>
        <w:contextualSpacing/>
        <w:jc w:val="both"/>
        <w:rPr>
          <w:rFonts w:cs="Arial"/>
          <w:sz w:val="20"/>
          <w:szCs w:val="20"/>
        </w:rPr>
      </w:pPr>
      <w:r w:rsidRPr="003960AA">
        <w:rPr>
          <w:rFonts w:cs="Arial"/>
          <w:sz w:val="20"/>
          <w:szCs w:val="20"/>
        </w:rPr>
        <w:t xml:space="preserve">Epidemija je imela vpliv tudi na operativno poslovanje, ki se je moralo prilagoditi omejitvam. </w:t>
      </w:r>
      <w:r w:rsidR="00BB0401" w:rsidRPr="003960AA">
        <w:rPr>
          <w:rFonts w:cs="Arial"/>
          <w:sz w:val="20"/>
          <w:szCs w:val="20"/>
        </w:rPr>
        <w:t>S</w:t>
      </w:r>
      <w:r w:rsidRPr="003960AA">
        <w:rPr>
          <w:rFonts w:cs="Arial"/>
          <w:sz w:val="20"/>
          <w:szCs w:val="20"/>
        </w:rPr>
        <w:t xml:space="preserve">OP </w:t>
      </w:r>
      <w:r w:rsidR="00BB0401" w:rsidRPr="003960AA">
        <w:rPr>
          <w:rFonts w:cs="Arial"/>
          <w:sz w:val="20"/>
          <w:szCs w:val="20"/>
        </w:rPr>
        <w:t xml:space="preserve">je </w:t>
      </w:r>
      <w:r w:rsidRPr="003960AA">
        <w:rPr>
          <w:rFonts w:cs="Arial"/>
          <w:sz w:val="20"/>
          <w:szCs w:val="20"/>
        </w:rPr>
        <w:t>uspel izpeljati vse zastavljene aktivnosti.</w:t>
      </w:r>
    </w:p>
    <w:p w14:paraId="7585C1D8" w14:textId="77777777" w:rsidR="00DB6F76" w:rsidRPr="003960AA" w:rsidRDefault="00DB6F76" w:rsidP="008736CE">
      <w:pPr>
        <w:spacing w:line="240" w:lineRule="auto"/>
        <w:contextualSpacing/>
        <w:jc w:val="both"/>
        <w:rPr>
          <w:rFonts w:cs="Arial"/>
          <w:sz w:val="20"/>
          <w:szCs w:val="20"/>
        </w:rPr>
      </w:pPr>
    </w:p>
    <w:p w14:paraId="276A7C80" w14:textId="695CD6F1" w:rsidR="00DB6F76" w:rsidRDefault="00DB6F76" w:rsidP="008736CE">
      <w:pPr>
        <w:spacing w:line="240" w:lineRule="auto"/>
        <w:contextualSpacing/>
        <w:jc w:val="both"/>
        <w:rPr>
          <w:rFonts w:cs="Arial"/>
          <w:sz w:val="20"/>
          <w:szCs w:val="20"/>
        </w:rPr>
      </w:pPr>
      <w:r w:rsidRPr="003960AA">
        <w:rPr>
          <w:rFonts w:cs="Arial"/>
          <w:sz w:val="20"/>
          <w:szCs w:val="20"/>
        </w:rPr>
        <w:t xml:space="preserve">SOP je leto končal z </w:t>
      </w:r>
      <w:r w:rsidR="000C66C4" w:rsidRPr="003960AA">
        <w:rPr>
          <w:rFonts w:cs="Arial"/>
          <w:sz w:val="20"/>
          <w:szCs w:val="20"/>
        </w:rPr>
        <w:t>19.</w:t>
      </w:r>
      <w:r w:rsidR="00143C23" w:rsidRPr="003960AA">
        <w:rPr>
          <w:rFonts w:cs="Arial"/>
          <w:sz w:val="20"/>
          <w:szCs w:val="20"/>
        </w:rPr>
        <w:t>624</w:t>
      </w:r>
      <w:r w:rsidRPr="003960AA">
        <w:rPr>
          <w:rFonts w:cs="Arial"/>
          <w:sz w:val="20"/>
          <w:szCs w:val="20"/>
        </w:rPr>
        <w:t xml:space="preserve"> člani in 2</w:t>
      </w:r>
      <w:r w:rsidR="00677EEC" w:rsidRPr="003960AA">
        <w:rPr>
          <w:rFonts w:cs="Arial"/>
          <w:sz w:val="20"/>
          <w:szCs w:val="20"/>
        </w:rPr>
        <w:t>05,1</w:t>
      </w:r>
      <w:r w:rsidRPr="003960AA">
        <w:rPr>
          <w:rFonts w:cs="Arial"/>
          <w:sz w:val="20"/>
          <w:szCs w:val="20"/>
        </w:rPr>
        <w:t xml:space="preserve"> mio EUR bilančne vsote. Neto premija </w:t>
      </w:r>
      <w:r w:rsidR="000C66C4" w:rsidRPr="003960AA">
        <w:rPr>
          <w:rFonts w:cs="Arial"/>
          <w:sz w:val="20"/>
          <w:szCs w:val="20"/>
        </w:rPr>
        <w:t xml:space="preserve">se </w:t>
      </w:r>
      <w:r w:rsidRPr="003960AA">
        <w:rPr>
          <w:rFonts w:cs="Arial"/>
          <w:sz w:val="20"/>
          <w:szCs w:val="20"/>
        </w:rPr>
        <w:t xml:space="preserve">je </w:t>
      </w:r>
      <w:r w:rsidR="00677EEC" w:rsidRPr="003960AA">
        <w:rPr>
          <w:rFonts w:cs="Arial"/>
          <w:sz w:val="20"/>
          <w:szCs w:val="20"/>
        </w:rPr>
        <w:t xml:space="preserve">povečala </w:t>
      </w:r>
      <w:r w:rsidRPr="003960AA">
        <w:rPr>
          <w:rFonts w:cs="Arial"/>
          <w:sz w:val="20"/>
          <w:szCs w:val="20"/>
        </w:rPr>
        <w:t>za 1</w:t>
      </w:r>
      <w:r w:rsidR="000C66C4" w:rsidRPr="003960AA">
        <w:rPr>
          <w:rFonts w:cs="Arial"/>
          <w:sz w:val="20"/>
          <w:szCs w:val="20"/>
        </w:rPr>
        <w:t>,</w:t>
      </w:r>
      <w:r w:rsidR="00677EEC" w:rsidRPr="003960AA">
        <w:rPr>
          <w:rFonts w:cs="Arial"/>
          <w:sz w:val="20"/>
          <w:szCs w:val="20"/>
        </w:rPr>
        <w:t>6</w:t>
      </w:r>
      <w:r w:rsidR="00E20F15" w:rsidRPr="003960AA">
        <w:rPr>
          <w:rFonts w:cs="Arial"/>
          <w:sz w:val="20"/>
          <w:szCs w:val="20"/>
        </w:rPr>
        <w:t>0</w:t>
      </w:r>
      <w:r w:rsidR="00C4101D" w:rsidRPr="003960AA">
        <w:rPr>
          <w:rFonts w:cs="Arial"/>
          <w:sz w:val="20"/>
          <w:szCs w:val="20"/>
        </w:rPr>
        <w:t>%</w:t>
      </w:r>
      <w:r w:rsidRPr="003960AA">
        <w:rPr>
          <w:rFonts w:cs="Arial"/>
          <w:sz w:val="20"/>
          <w:szCs w:val="20"/>
        </w:rPr>
        <w:t>, konsolidiran</w:t>
      </w:r>
      <w:r w:rsidR="00B11428" w:rsidRPr="003960AA">
        <w:rPr>
          <w:rFonts w:cs="Arial"/>
          <w:sz w:val="20"/>
          <w:szCs w:val="20"/>
        </w:rPr>
        <w:t>i</w:t>
      </w:r>
      <w:r w:rsidRPr="005E3B76">
        <w:rPr>
          <w:rFonts w:cs="Arial"/>
          <w:sz w:val="20"/>
          <w:szCs w:val="20"/>
        </w:rPr>
        <w:t xml:space="preserve"> finančni donos je znašal </w:t>
      </w:r>
      <w:r w:rsidR="00020326">
        <w:rPr>
          <w:rFonts w:cs="Arial"/>
          <w:sz w:val="20"/>
          <w:szCs w:val="20"/>
        </w:rPr>
        <w:t>-1,45</w:t>
      </w:r>
      <w:r>
        <w:rPr>
          <w:rFonts w:cs="Arial"/>
          <w:color w:val="000000"/>
          <w:sz w:val="20"/>
          <w:szCs w:val="20"/>
        </w:rPr>
        <w:t>%</w:t>
      </w:r>
      <w:r w:rsidRPr="00C07544">
        <w:rPr>
          <w:rFonts w:cs="Arial"/>
          <w:color w:val="000000"/>
          <w:sz w:val="20"/>
          <w:szCs w:val="20"/>
        </w:rPr>
        <w:t>,</w:t>
      </w:r>
      <w:r w:rsidRPr="005E3B76">
        <w:rPr>
          <w:rFonts w:cs="Arial"/>
          <w:sz w:val="20"/>
          <w:szCs w:val="20"/>
        </w:rPr>
        <w:t xml:space="preserve"> oziroma od</w:t>
      </w:r>
      <w:r>
        <w:rPr>
          <w:rFonts w:cs="Arial"/>
          <w:sz w:val="20"/>
          <w:szCs w:val="20"/>
        </w:rPr>
        <w:t xml:space="preserve"> </w:t>
      </w:r>
      <w:r w:rsidR="004D4B13">
        <w:rPr>
          <w:rFonts w:cs="Arial"/>
          <w:sz w:val="20"/>
          <w:szCs w:val="20"/>
        </w:rPr>
        <w:t>-2,80</w:t>
      </w:r>
      <w:r>
        <w:rPr>
          <w:rFonts w:cs="Arial"/>
          <w:sz w:val="20"/>
          <w:szCs w:val="20"/>
        </w:rPr>
        <w:t xml:space="preserve">% do </w:t>
      </w:r>
      <w:r w:rsidR="004D4B13">
        <w:rPr>
          <w:rFonts w:cs="Arial"/>
          <w:sz w:val="20"/>
          <w:szCs w:val="20"/>
        </w:rPr>
        <w:t>+5,89</w:t>
      </w:r>
      <w:r>
        <w:rPr>
          <w:rFonts w:cs="Arial"/>
          <w:sz w:val="20"/>
          <w:szCs w:val="20"/>
        </w:rPr>
        <w:t xml:space="preserve">%, </w:t>
      </w:r>
      <w:r w:rsidRPr="005E3B76">
        <w:rPr>
          <w:rFonts w:cs="Arial"/>
          <w:sz w:val="20"/>
          <w:szCs w:val="20"/>
        </w:rPr>
        <w:t xml:space="preserve">odvisno od produkta. </w:t>
      </w:r>
    </w:p>
    <w:p w14:paraId="3B36F146" w14:textId="77777777" w:rsidR="00DB6F76" w:rsidRDefault="00DB6F76" w:rsidP="00DB6F76">
      <w:pPr>
        <w:spacing w:line="240" w:lineRule="auto"/>
        <w:contextualSpacing/>
        <w:rPr>
          <w:rFonts w:cs="Arial"/>
          <w:sz w:val="20"/>
          <w:szCs w:val="20"/>
        </w:rPr>
      </w:pPr>
    </w:p>
    <w:p w14:paraId="5656FA67" w14:textId="77777777" w:rsidR="00DB6F76" w:rsidRPr="005E3B76" w:rsidRDefault="00DB6F76" w:rsidP="00DB6F76">
      <w:pPr>
        <w:spacing w:line="240" w:lineRule="auto"/>
        <w:contextualSpacing/>
        <w:rPr>
          <w:rFonts w:cs="Arial"/>
          <w:sz w:val="20"/>
          <w:szCs w:val="20"/>
        </w:rPr>
      </w:pPr>
      <w:r w:rsidRPr="005E3B76">
        <w:rPr>
          <w:rFonts w:cs="Arial"/>
          <w:sz w:val="20"/>
          <w:szCs w:val="20"/>
        </w:rPr>
        <w:t>Podatki o poslovanju v letu 201</w:t>
      </w:r>
      <w:r w:rsidR="00334DBC">
        <w:rPr>
          <w:rFonts w:cs="Arial"/>
          <w:sz w:val="20"/>
          <w:szCs w:val="20"/>
        </w:rPr>
        <w:t>9</w:t>
      </w:r>
    </w:p>
    <w:tbl>
      <w:tblPr>
        <w:tblW w:w="6026" w:type="dxa"/>
        <w:tblLayout w:type="fixed"/>
        <w:tblCellMar>
          <w:left w:w="70" w:type="dxa"/>
          <w:right w:w="284" w:type="dxa"/>
        </w:tblCellMar>
        <w:tblLook w:val="0000" w:firstRow="0" w:lastRow="0" w:firstColumn="0" w:lastColumn="0" w:noHBand="0" w:noVBand="0"/>
      </w:tblPr>
      <w:tblGrid>
        <w:gridCol w:w="4360"/>
        <w:gridCol w:w="1666"/>
      </w:tblGrid>
      <w:tr w:rsidR="00DB6F76" w:rsidRPr="005E3B76" w14:paraId="17FE6C75" w14:textId="77777777" w:rsidTr="00096B2F">
        <w:trPr>
          <w:trHeight w:val="284"/>
        </w:trPr>
        <w:tc>
          <w:tcPr>
            <w:tcW w:w="4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1D13209" w14:textId="77777777" w:rsidR="00DB6F76" w:rsidRPr="005E3B76" w:rsidRDefault="00DB6F76" w:rsidP="00096B2F">
            <w:pPr>
              <w:spacing w:line="240" w:lineRule="auto"/>
              <w:contextualSpacing/>
              <w:rPr>
                <w:rFonts w:cs="Arial"/>
                <w:sz w:val="20"/>
                <w:szCs w:val="20"/>
              </w:rPr>
            </w:pPr>
            <w:r w:rsidRPr="005E3B7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66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795D56" w14:textId="77777777" w:rsidR="00DB6F76" w:rsidRPr="005E3B76" w:rsidRDefault="00DB6F76" w:rsidP="00096B2F">
            <w:pPr>
              <w:spacing w:line="240" w:lineRule="auto"/>
              <w:contextualSpacing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 EUR</w:t>
            </w:r>
          </w:p>
        </w:tc>
      </w:tr>
      <w:tr w:rsidR="00DB6F76" w:rsidRPr="005E3B76" w14:paraId="3E421CAA" w14:textId="77777777" w:rsidTr="00096B2F">
        <w:trPr>
          <w:trHeight w:val="284"/>
        </w:trPr>
        <w:tc>
          <w:tcPr>
            <w:tcW w:w="43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6939188" w14:textId="77777777" w:rsidR="00DB6F76" w:rsidRPr="005E3B76" w:rsidRDefault="00DB6F76" w:rsidP="00096B2F">
            <w:pPr>
              <w:spacing w:line="240" w:lineRule="auto"/>
              <w:contextualSpacing/>
              <w:rPr>
                <w:rFonts w:cs="Arial"/>
                <w:sz w:val="20"/>
                <w:szCs w:val="20"/>
              </w:rPr>
            </w:pPr>
            <w:r w:rsidRPr="005E3B76">
              <w:rPr>
                <w:rFonts w:cs="Arial"/>
                <w:sz w:val="20"/>
                <w:szCs w:val="20"/>
              </w:rPr>
              <w:t>Premije-prispevki</w:t>
            </w:r>
            <w:r w:rsidR="000C66C4">
              <w:rPr>
                <w:rFonts w:cs="Arial"/>
                <w:sz w:val="20"/>
                <w:szCs w:val="20"/>
              </w:rPr>
              <w:t xml:space="preserve"> neto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42DDC2" w14:textId="3A985B6D" w:rsidR="00DB6F76" w:rsidRPr="005E3B76" w:rsidRDefault="000C66C4" w:rsidP="00096B2F">
            <w:pPr>
              <w:spacing w:line="240" w:lineRule="auto"/>
              <w:contextualSpacing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6.</w:t>
            </w:r>
            <w:r w:rsidR="00604789">
              <w:rPr>
                <w:rFonts w:cs="Arial"/>
                <w:sz w:val="20"/>
                <w:szCs w:val="20"/>
              </w:rPr>
              <w:t>694.289</w:t>
            </w:r>
          </w:p>
        </w:tc>
      </w:tr>
      <w:tr w:rsidR="00DB6F76" w:rsidRPr="005E3B76" w14:paraId="47CF7B79" w14:textId="77777777" w:rsidTr="00096B2F">
        <w:trPr>
          <w:trHeight w:val="284"/>
        </w:trPr>
        <w:tc>
          <w:tcPr>
            <w:tcW w:w="43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95280A6" w14:textId="77777777" w:rsidR="00DB6F76" w:rsidRPr="005E3B76" w:rsidRDefault="00DB6F76" w:rsidP="00096B2F">
            <w:pPr>
              <w:spacing w:line="240" w:lineRule="auto"/>
              <w:contextualSpacing/>
              <w:rPr>
                <w:rFonts w:cs="Arial"/>
                <w:sz w:val="20"/>
                <w:szCs w:val="20"/>
              </w:rPr>
            </w:pPr>
            <w:r w:rsidRPr="005E3B76">
              <w:rPr>
                <w:rFonts w:cs="Arial"/>
                <w:sz w:val="20"/>
                <w:szCs w:val="20"/>
              </w:rPr>
              <w:t>Pokojnine in druga izplačila zavarovancem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1E2072" w14:textId="579EFF0A" w:rsidR="00DB6F76" w:rsidRPr="005E3B76" w:rsidRDefault="00DB6F76" w:rsidP="00096B2F">
            <w:pPr>
              <w:spacing w:line="240" w:lineRule="auto"/>
              <w:contextualSpacing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  <w:r w:rsidR="00604789">
              <w:rPr>
                <w:rFonts w:cs="Arial"/>
                <w:sz w:val="20"/>
                <w:szCs w:val="20"/>
              </w:rPr>
              <w:t>9</w:t>
            </w:r>
            <w:r>
              <w:rPr>
                <w:rFonts w:cs="Arial"/>
                <w:sz w:val="20"/>
                <w:szCs w:val="20"/>
              </w:rPr>
              <w:t>.</w:t>
            </w:r>
            <w:r w:rsidR="00604789">
              <w:rPr>
                <w:rFonts w:cs="Arial"/>
                <w:sz w:val="20"/>
                <w:szCs w:val="20"/>
              </w:rPr>
              <w:t>793.669</w:t>
            </w:r>
          </w:p>
        </w:tc>
      </w:tr>
      <w:tr w:rsidR="00DB6F76" w:rsidRPr="005E3B76" w14:paraId="1D061A6B" w14:textId="77777777" w:rsidTr="00096B2F">
        <w:trPr>
          <w:trHeight w:val="284"/>
        </w:trPr>
        <w:tc>
          <w:tcPr>
            <w:tcW w:w="43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DC0A46C" w14:textId="77777777" w:rsidR="00DB6F76" w:rsidRPr="005E3B76" w:rsidRDefault="00DB6F76" w:rsidP="00096B2F">
            <w:pPr>
              <w:spacing w:line="240" w:lineRule="auto"/>
              <w:contextualSpacing/>
              <w:rPr>
                <w:rFonts w:cs="Arial"/>
                <w:sz w:val="20"/>
                <w:szCs w:val="20"/>
              </w:rPr>
            </w:pPr>
            <w:r w:rsidRPr="005E3B76">
              <w:rPr>
                <w:rFonts w:cs="Arial"/>
                <w:sz w:val="20"/>
                <w:szCs w:val="20"/>
              </w:rPr>
              <w:t>Neto prihodki od naložb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70D0C6" w14:textId="1B39D1AC" w:rsidR="00DB6F76" w:rsidRPr="005E3B76" w:rsidRDefault="00604789" w:rsidP="00096B2F">
            <w:pPr>
              <w:spacing w:line="240" w:lineRule="auto"/>
              <w:contextualSpacing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-2.973.374</w:t>
            </w:r>
          </w:p>
        </w:tc>
      </w:tr>
      <w:tr w:rsidR="00DB6F76" w:rsidRPr="005E3B76" w14:paraId="2227FD05" w14:textId="77777777" w:rsidTr="00096B2F">
        <w:trPr>
          <w:trHeight w:val="284"/>
        </w:trPr>
        <w:tc>
          <w:tcPr>
            <w:tcW w:w="43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E303039" w14:textId="77777777" w:rsidR="00DB6F76" w:rsidRPr="005E3B76" w:rsidRDefault="00DB6F76" w:rsidP="00096B2F">
            <w:pPr>
              <w:spacing w:line="240" w:lineRule="auto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Stroški poslovanja (čisti obratovalni stroški + drugi čisti zavarovalni odhodki)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B6BAC5" w14:textId="754072F8" w:rsidR="00DB6F76" w:rsidRDefault="000C66C4" w:rsidP="00096B2F">
            <w:pPr>
              <w:spacing w:line="240" w:lineRule="auto"/>
              <w:contextualSpacing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2.</w:t>
            </w:r>
            <w:r w:rsidR="00604789">
              <w:rPr>
                <w:rFonts w:cs="Arial"/>
                <w:sz w:val="20"/>
                <w:szCs w:val="20"/>
              </w:rPr>
              <w:t>496</w:t>
            </w:r>
            <w:r>
              <w:rPr>
                <w:rFonts w:cs="Arial"/>
                <w:sz w:val="20"/>
                <w:szCs w:val="20"/>
              </w:rPr>
              <w:t>.</w:t>
            </w:r>
            <w:r w:rsidR="00604789">
              <w:rPr>
                <w:rFonts w:cs="Arial"/>
                <w:sz w:val="20"/>
                <w:szCs w:val="20"/>
              </w:rPr>
              <w:t>688</w:t>
            </w:r>
          </w:p>
        </w:tc>
      </w:tr>
      <w:tr w:rsidR="00DB6F76" w:rsidRPr="005E3B76" w14:paraId="0D7AC210" w14:textId="77777777" w:rsidTr="00096B2F">
        <w:trPr>
          <w:trHeight w:val="284"/>
        </w:trPr>
        <w:tc>
          <w:tcPr>
            <w:tcW w:w="43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3228068" w14:textId="77777777" w:rsidR="00DB6F76" w:rsidRPr="005E3B76" w:rsidRDefault="00DB6F76" w:rsidP="00096B2F">
            <w:pPr>
              <w:spacing w:line="240" w:lineRule="auto"/>
              <w:contextualSpacing/>
              <w:rPr>
                <w:rFonts w:cs="Arial"/>
                <w:sz w:val="20"/>
                <w:szCs w:val="20"/>
              </w:rPr>
            </w:pPr>
            <w:r w:rsidRPr="005E3B76">
              <w:rPr>
                <w:rFonts w:cs="Arial"/>
                <w:sz w:val="20"/>
                <w:szCs w:val="20"/>
              </w:rPr>
              <w:t>Sprememba matematičnih rezervacij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A4FC96" w14:textId="6E609F10" w:rsidR="00DB6F76" w:rsidRPr="005E3B76" w:rsidRDefault="00143C23" w:rsidP="00096B2F">
            <w:pPr>
              <w:spacing w:line="240" w:lineRule="auto"/>
              <w:contextualSpacing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-7.073.858</w:t>
            </w:r>
          </w:p>
        </w:tc>
      </w:tr>
      <w:tr w:rsidR="00DB6F76" w:rsidRPr="005E3B76" w14:paraId="46767358" w14:textId="77777777" w:rsidTr="00096B2F">
        <w:trPr>
          <w:trHeight w:val="284"/>
        </w:trPr>
        <w:tc>
          <w:tcPr>
            <w:tcW w:w="43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973A2CD" w14:textId="77777777" w:rsidR="00DB6F76" w:rsidRPr="005E3B76" w:rsidRDefault="00DB6F76" w:rsidP="00096B2F">
            <w:pPr>
              <w:spacing w:line="240" w:lineRule="auto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Zavarovalne </w:t>
            </w:r>
            <w:r w:rsidRPr="005E3B76">
              <w:rPr>
                <w:rFonts w:cs="Arial"/>
                <w:sz w:val="20"/>
                <w:szCs w:val="20"/>
              </w:rPr>
              <w:t>rezervacije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3954C9" w14:textId="26275BF3" w:rsidR="00DB6F76" w:rsidRPr="005E3B76" w:rsidRDefault="00143C23" w:rsidP="00096B2F">
            <w:pPr>
              <w:spacing w:line="240" w:lineRule="auto"/>
              <w:contextualSpacing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196.879.191</w:t>
            </w:r>
            <w:r w:rsidR="00DB6F76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DB6F76" w:rsidRPr="005E3B76" w14:paraId="5E81C225" w14:textId="77777777" w:rsidTr="00096B2F">
        <w:trPr>
          <w:trHeight w:val="284"/>
        </w:trPr>
        <w:tc>
          <w:tcPr>
            <w:tcW w:w="43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933C605" w14:textId="77777777" w:rsidR="00DB6F76" w:rsidRPr="005E3B76" w:rsidRDefault="00DB6F76" w:rsidP="00096B2F">
            <w:pPr>
              <w:spacing w:line="240" w:lineRule="auto"/>
              <w:contextualSpacing/>
              <w:rPr>
                <w:rFonts w:cs="Arial"/>
                <w:sz w:val="20"/>
                <w:szCs w:val="20"/>
              </w:rPr>
            </w:pPr>
            <w:r w:rsidRPr="005E3B76">
              <w:rPr>
                <w:rFonts w:cs="Arial"/>
                <w:sz w:val="20"/>
                <w:szCs w:val="20"/>
              </w:rPr>
              <w:t>Kapital brez presežkov iz prevrednotenja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40797E" w14:textId="601F8892" w:rsidR="00DB6F76" w:rsidRPr="005E3B76" w:rsidRDefault="00DB6F76" w:rsidP="00096B2F">
            <w:pPr>
              <w:spacing w:line="240" w:lineRule="auto"/>
              <w:contextualSpacing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  <w:r w:rsidR="005A1E29">
              <w:rPr>
                <w:rFonts w:cs="Arial"/>
                <w:sz w:val="20"/>
                <w:szCs w:val="20"/>
              </w:rPr>
              <w:t>5.925.662</w:t>
            </w:r>
          </w:p>
        </w:tc>
      </w:tr>
      <w:tr w:rsidR="00DB6F76" w:rsidRPr="005E3B76" w14:paraId="71D8A61C" w14:textId="77777777" w:rsidTr="00096B2F">
        <w:trPr>
          <w:trHeight w:val="284"/>
        </w:trPr>
        <w:tc>
          <w:tcPr>
            <w:tcW w:w="43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301EA72" w14:textId="77777777" w:rsidR="00DB6F76" w:rsidRPr="005E3B76" w:rsidRDefault="00DB6F76" w:rsidP="00096B2F">
            <w:pPr>
              <w:spacing w:line="240" w:lineRule="auto"/>
              <w:contextualSpacing/>
              <w:rPr>
                <w:rFonts w:cs="Arial"/>
                <w:sz w:val="20"/>
                <w:szCs w:val="20"/>
              </w:rPr>
            </w:pPr>
            <w:r w:rsidRPr="005E3B76">
              <w:rPr>
                <w:rFonts w:cs="Arial"/>
                <w:sz w:val="20"/>
                <w:szCs w:val="20"/>
              </w:rPr>
              <w:t xml:space="preserve">Število </w:t>
            </w:r>
            <w:r>
              <w:rPr>
                <w:rFonts w:cs="Arial"/>
                <w:sz w:val="20"/>
                <w:szCs w:val="20"/>
              </w:rPr>
              <w:t>članov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8BEB8E" w14:textId="6465EFA7" w:rsidR="00DB6F76" w:rsidRPr="005E3B76" w:rsidRDefault="000C66C4" w:rsidP="00096B2F">
            <w:pPr>
              <w:spacing w:line="240" w:lineRule="auto"/>
              <w:contextualSpacing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19.</w:t>
            </w:r>
            <w:r w:rsidR="00143C23">
              <w:rPr>
                <w:rFonts w:cs="Arial"/>
                <w:sz w:val="20"/>
                <w:szCs w:val="20"/>
              </w:rPr>
              <w:t>624</w:t>
            </w:r>
          </w:p>
        </w:tc>
      </w:tr>
    </w:tbl>
    <w:p w14:paraId="1F69865F" w14:textId="77777777" w:rsidR="00DB6F76" w:rsidRDefault="00DB6F76" w:rsidP="00DB6F76">
      <w:pPr>
        <w:spacing w:line="240" w:lineRule="auto"/>
        <w:contextualSpacing/>
        <w:rPr>
          <w:rFonts w:cs="Arial"/>
          <w:sz w:val="20"/>
          <w:szCs w:val="20"/>
        </w:rPr>
      </w:pPr>
    </w:p>
    <w:p w14:paraId="24C73797" w14:textId="1D7F2436" w:rsidR="005F4066" w:rsidRDefault="005F4066" w:rsidP="00E80716">
      <w:pPr>
        <w:pStyle w:val="Odstavekseznama"/>
        <w:numPr>
          <w:ilvl w:val="0"/>
          <w:numId w:val="4"/>
        </w:numPr>
        <w:spacing w:line="240" w:lineRule="auto"/>
        <w:ind w:left="357" w:hanging="357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I</w:t>
      </w:r>
      <w:r w:rsidR="00A962B4">
        <w:rPr>
          <w:rFonts w:cs="Arial"/>
          <w:b/>
          <w:sz w:val="20"/>
          <w:szCs w:val="20"/>
        </w:rPr>
        <w:t>ZPLAČILO DODATKA ZAVAROVANCEM POKLICNIH POKOJNINSKIH ZAVAROVANJ</w:t>
      </w:r>
      <w:r w:rsidR="00701042">
        <w:rPr>
          <w:rFonts w:cs="Arial"/>
          <w:b/>
          <w:sz w:val="20"/>
          <w:szCs w:val="20"/>
        </w:rPr>
        <w:t xml:space="preserve"> (VZA)</w:t>
      </w:r>
    </w:p>
    <w:p w14:paraId="09AC5ACD" w14:textId="77777777" w:rsidR="00636FA9" w:rsidRDefault="00636FA9" w:rsidP="00B34D2B">
      <w:pPr>
        <w:spacing w:line="240" w:lineRule="auto"/>
        <w:contextualSpacing/>
        <w:rPr>
          <w:rFonts w:cs="Arial"/>
          <w:sz w:val="20"/>
          <w:szCs w:val="20"/>
        </w:rPr>
      </w:pPr>
    </w:p>
    <w:p w14:paraId="1B689D81" w14:textId="5008ACE9" w:rsidR="005530FC" w:rsidRPr="003960AA" w:rsidRDefault="005F4066" w:rsidP="008736CE">
      <w:pPr>
        <w:spacing w:line="240" w:lineRule="auto"/>
        <w:contextualSpacing/>
        <w:jc w:val="both"/>
        <w:rPr>
          <w:rFonts w:cs="Arial"/>
          <w:sz w:val="20"/>
          <w:szCs w:val="20"/>
        </w:rPr>
      </w:pPr>
      <w:r w:rsidRPr="003960AA">
        <w:rPr>
          <w:rFonts w:cs="Arial"/>
          <w:sz w:val="20"/>
          <w:szCs w:val="20"/>
        </w:rPr>
        <w:lastRenderedPageBreak/>
        <w:t xml:space="preserve">SOP je </w:t>
      </w:r>
      <w:r w:rsidR="00E04BD8" w:rsidRPr="003960AA">
        <w:rPr>
          <w:rFonts w:cs="Arial"/>
          <w:sz w:val="20"/>
          <w:szCs w:val="20"/>
        </w:rPr>
        <w:t xml:space="preserve">na dan 31.3.2021 uspel ustvariti presežek nad potrebnimi rezervacijami, zato se </w:t>
      </w:r>
      <w:r w:rsidR="00643463" w:rsidRPr="003960AA">
        <w:rPr>
          <w:rFonts w:cs="Arial"/>
          <w:sz w:val="20"/>
          <w:szCs w:val="20"/>
        </w:rPr>
        <w:t>je</w:t>
      </w:r>
      <w:r w:rsidR="00E04BD8" w:rsidRPr="003960AA">
        <w:rPr>
          <w:rFonts w:cs="Arial"/>
          <w:sz w:val="20"/>
          <w:szCs w:val="20"/>
        </w:rPr>
        <w:t xml:space="preserve"> del </w:t>
      </w:r>
      <w:r w:rsidR="00701042" w:rsidRPr="003960AA">
        <w:rPr>
          <w:rFonts w:cs="Arial"/>
          <w:sz w:val="20"/>
          <w:szCs w:val="20"/>
        </w:rPr>
        <w:t xml:space="preserve">presežka izplačal. Pri določitvi višine izplačila SOP </w:t>
      </w:r>
      <w:r w:rsidR="005530FC" w:rsidRPr="003960AA">
        <w:rPr>
          <w:rFonts w:cs="Arial"/>
          <w:sz w:val="20"/>
          <w:szCs w:val="20"/>
        </w:rPr>
        <w:t>upošteva strokovno oceno, koliko presežnih sredstev mora imeti na razpolago za obvladovanje tržnih nihanj.</w:t>
      </w:r>
    </w:p>
    <w:p w14:paraId="176F14B7" w14:textId="77777777" w:rsidR="001D4AD1" w:rsidRPr="003960AA" w:rsidRDefault="001D4AD1" w:rsidP="00B34D2B">
      <w:pPr>
        <w:spacing w:line="240" w:lineRule="auto"/>
        <w:contextualSpacing/>
        <w:rPr>
          <w:rFonts w:cs="Arial"/>
          <w:sz w:val="20"/>
          <w:szCs w:val="20"/>
        </w:rPr>
      </w:pPr>
    </w:p>
    <w:p w14:paraId="1B7A6276" w14:textId="24654655" w:rsidR="005530FC" w:rsidRPr="003960AA" w:rsidRDefault="005530FC" w:rsidP="008736CE">
      <w:pPr>
        <w:spacing w:line="240" w:lineRule="auto"/>
        <w:contextualSpacing/>
        <w:jc w:val="both"/>
        <w:rPr>
          <w:rFonts w:cs="Arial"/>
          <w:sz w:val="20"/>
          <w:szCs w:val="20"/>
        </w:rPr>
      </w:pPr>
      <w:r w:rsidRPr="003960AA">
        <w:rPr>
          <w:rFonts w:cs="Arial"/>
          <w:sz w:val="20"/>
          <w:szCs w:val="20"/>
        </w:rPr>
        <w:t xml:space="preserve">Izplačilo dodatka bo skupaj znašalo 1,5 mio EUR. </w:t>
      </w:r>
      <w:r w:rsidR="000D5F4F" w:rsidRPr="003960AA">
        <w:rPr>
          <w:rFonts w:cs="Arial"/>
          <w:sz w:val="20"/>
          <w:szCs w:val="20"/>
        </w:rPr>
        <w:t>Č</w:t>
      </w:r>
      <w:r w:rsidRPr="003960AA">
        <w:rPr>
          <w:rFonts w:cs="Arial"/>
          <w:sz w:val="20"/>
          <w:szCs w:val="20"/>
        </w:rPr>
        <w:t>lani, ki so se upokojili po 31.5.20</w:t>
      </w:r>
      <w:r w:rsidR="00C368E9" w:rsidRPr="003960AA">
        <w:rPr>
          <w:rFonts w:cs="Arial"/>
          <w:sz w:val="20"/>
          <w:szCs w:val="20"/>
        </w:rPr>
        <w:t>19</w:t>
      </w:r>
      <w:r w:rsidRPr="003960AA">
        <w:rPr>
          <w:rFonts w:cs="Arial"/>
          <w:sz w:val="20"/>
          <w:szCs w:val="20"/>
        </w:rPr>
        <w:t xml:space="preserve"> bodo prejeli 20% višje izplačilo</w:t>
      </w:r>
      <w:r w:rsidR="003F52A0" w:rsidRPr="003960AA">
        <w:rPr>
          <w:rFonts w:cs="Arial"/>
          <w:sz w:val="20"/>
          <w:szCs w:val="20"/>
        </w:rPr>
        <w:t>, ker se je tem članom poleg znižanja pokojnin, spremenila tudi odmera.</w:t>
      </w:r>
      <w:r w:rsidR="000D5F4F" w:rsidRPr="003960AA">
        <w:rPr>
          <w:rFonts w:cs="Arial"/>
          <w:sz w:val="20"/>
          <w:szCs w:val="20"/>
        </w:rPr>
        <w:t xml:space="preserve"> </w:t>
      </w:r>
      <w:r w:rsidR="003F52A0" w:rsidRPr="003960AA">
        <w:rPr>
          <w:rFonts w:cs="Arial"/>
          <w:sz w:val="20"/>
          <w:szCs w:val="20"/>
        </w:rPr>
        <w:t>A</w:t>
      </w:r>
      <w:r w:rsidR="000D5F4F" w:rsidRPr="003960AA">
        <w:rPr>
          <w:rFonts w:cs="Arial"/>
          <w:sz w:val="20"/>
          <w:szCs w:val="20"/>
        </w:rPr>
        <w:t xml:space="preserve">ktivnim članom se </w:t>
      </w:r>
      <w:r w:rsidR="00B622D6" w:rsidRPr="003960AA">
        <w:rPr>
          <w:rFonts w:cs="Arial"/>
          <w:sz w:val="20"/>
          <w:szCs w:val="20"/>
        </w:rPr>
        <w:t>b</w:t>
      </w:r>
      <w:r w:rsidR="000D5F4F" w:rsidRPr="003960AA">
        <w:rPr>
          <w:rFonts w:cs="Arial"/>
          <w:sz w:val="20"/>
          <w:szCs w:val="20"/>
        </w:rPr>
        <w:t>o povečalo evidenčno stanje</w:t>
      </w:r>
      <w:r w:rsidR="003F52A0" w:rsidRPr="003960AA">
        <w:rPr>
          <w:rFonts w:cs="Arial"/>
          <w:sz w:val="20"/>
          <w:szCs w:val="20"/>
        </w:rPr>
        <w:t xml:space="preserve"> na polici</w:t>
      </w:r>
      <w:r w:rsidR="000D5F4F" w:rsidRPr="003960AA">
        <w:rPr>
          <w:rFonts w:cs="Arial"/>
          <w:sz w:val="20"/>
          <w:szCs w:val="20"/>
        </w:rPr>
        <w:t>.</w:t>
      </w:r>
      <w:r w:rsidRPr="003960AA">
        <w:rPr>
          <w:rFonts w:cs="Arial"/>
          <w:sz w:val="20"/>
          <w:szCs w:val="20"/>
        </w:rPr>
        <w:t xml:space="preserve"> </w:t>
      </w:r>
      <w:r w:rsidR="00F746F9" w:rsidRPr="003960AA">
        <w:rPr>
          <w:rFonts w:cs="Arial"/>
          <w:sz w:val="20"/>
          <w:szCs w:val="20"/>
        </w:rPr>
        <w:t xml:space="preserve">Od leta 2019 </w:t>
      </w:r>
      <w:r w:rsidR="005D6792" w:rsidRPr="003960AA">
        <w:rPr>
          <w:rFonts w:cs="Arial"/>
          <w:sz w:val="20"/>
          <w:szCs w:val="20"/>
        </w:rPr>
        <w:t xml:space="preserve">se </w:t>
      </w:r>
      <w:r w:rsidR="006D69E5" w:rsidRPr="003960AA">
        <w:rPr>
          <w:rFonts w:cs="Arial"/>
          <w:sz w:val="20"/>
          <w:szCs w:val="20"/>
        </w:rPr>
        <w:t xml:space="preserve">uporabljajo </w:t>
      </w:r>
      <w:r w:rsidR="00845BF7" w:rsidRPr="003960AA">
        <w:rPr>
          <w:rFonts w:cs="Arial"/>
          <w:sz w:val="20"/>
          <w:szCs w:val="20"/>
        </w:rPr>
        <w:t xml:space="preserve">bolj </w:t>
      </w:r>
      <w:proofErr w:type="spellStart"/>
      <w:r w:rsidR="00845BF7" w:rsidRPr="003960AA">
        <w:rPr>
          <w:rFonts w:cs="Arial"/>
          <w:sz w:val="20"/>
          <w:szCs w:val="20"/>
        </w:rPr>
        <w:t>konzervativni</w:t>
      </w:r>
      <w:proofErr w:type="spellEnd"/>
      <w:r w:rsidR="00845BF7" w:rsidRPr="003960AA">
        <w:rPr>
          <w:rFonts w:cs="Arial"/>
          <w:sz w:val="20"/>
          <w:szCs w:val="20"/>
        </w:rPr>
        <w:t xml:space="preserve"> parametri.</w:t>
      </w:r>
    </w:p>
    <w:p w14:paraId="41200243" w14:textId="77777777" w:rsidR="00A95A1D" w:rsidRPr="003960AA" w:rsidRDefault="00A95A1D" w:rsidP="00B34D2B">
      <w:pPr>
        <w:spacing w:line="240" w:lineRule="auto"/>
        <w:contextualSpacing/>
        <w:rPr>
          <w:rFonts w:cs="Arial"/>
          <w:sz w:val="20"/>
          <w:szCs w:val="20"/>
        </w:rPr>
      </w:pPr>
    </w:p>
    <w:p w14:paraId="0403A36E" w14:textId="5C47F7FB" w:rsidR="00A95A1D" w:rsidRDefault="005943A5" w:rsidP="008736CE">
      <w:pPr>
        <w:spacing w:line="240" w:lineRule="auto"/>
        <w:contextualSpacing/>
        <w:jc w:val="both"/>
        <w:rPr>
          <w:rFonts w:cs="Arial"/>
          <w:sz w:val="20"/>
          <w:szCs w:val="20"/>
        </w:rPr>
      </w:pPr>
      <w:r w:rsidRPr="003960AA">
        <w:rPr>
          <w:rFonts w:cs="Arial"/>
          <w:sz w:val="20"/>
          <w:szCs w:val="20"/>
        </w:rPr>
        <w:t xml:space="preserve">Dodatek </w:t>
      </w:r>
      <w:r w:rsidR="00A95A1D" w:rsidRPr="003960AA">
        <w:rPr>
          <w:rFonts w:cs="Arial"/>
          <w:sz w:val="20"/>
          <w:szCs w:val="20"/>
        </w:rPr>
        <w:t xml:space="preserve">na </w:t>
      </w:r>
      <w:r w:rsidR="00B11428" w:rsidRPr="003960AA">
        <w:rPr>
          <w:rFonts w:cs="Arial"/>
          <w:sz w:val="20"/>
          <w:szCs w:val="20"/>
        </w:rPr>
        <w:t xml:space="preserve">posameznega člana </w:t>
      </w:r>
      <w:r w:rsidR="00A95A1D" w:rsidRPr="003960AA">
        <w:rPr>
          <w:rFonts w:cs="Arial"/>
          <w:sz w:val="20"/>
          <w:szCs w:val="20"/>
        </w:rPr>
        <w:t>je odvis</w:t>
      </w:r>
      <w:r w:rsidRPr="003960AA">
        <w:rPr>
          <w:rFonts w:cs="Arial"/>
          <w:sz w:val="20"/>
          <w:szCs w:val="20"/>
        </w:rPr>
        <w:t>e</w:t>
      </w:r>
      <w:r w:rsidR="00A95A1D" w:rsidRPr="003960AA">
        <w:rPr>
          <w:rFonts w:cs="Arial"/>
          <w:sz w:val="20"/>
          <w:szCs w:val="20"/>
        </w:rPr>
        <w:t>n od višine njegove rezervacije oziroma evidenčnega stanja police</w:t>
      </w:r>
      <w:r w:rsidR="006D69E5" w:rsidRPr="003960AA">
        <w:rPr>
          <w:rFonts w:cs="Arial"/>
          <w:sz w:val="20"/>
          <w:szCs w:val="20"/>
        </w:rPr>
        <w:t>.</w:t>
      </w:r>
      <w:r w:rsidR="005530FC" w:rsidRPr="003960AA">
        <w:rPr>
          <w:rFonts w:cs="Arial"/>
          <w:sz w:val="20"/>
          <w:szCs w:val="20"/>
        </w:rPr>
        <w:t xml:space="preserve"> </w:t>
      </w:r>
      <w:r w:rsidR="006D69E5" w:rsidRPr="003960AA">
        <w:rPr>
          <w:rFonts w:cs="Arial"/>
          <w:sz w:val="20"/>
          <w:szCs w:val="20"/>
        </w:rPr>
        <w:t>V</w:t>
      </w:r>
      <w:r w:rsidR="005530FC" w:rsidRPr="003960AA">
        <w:rPr>
          <w:rFonts w:cs="Arial"/>
          <w:sz w:val="20"/>
          <w:szCs w:val="20"/>
        </w:rPr>
        <w:t xml:space="preserve"> o</w:t>
      </w:r>
      <w:r w:rsidR="00401D70" w:rsidRPr="003960AA">
        <w:rPr>
          <w:rFonts w:cs="Arial"/>
          <w:sz w:val="20"/>
          <w:szCs w:val="20"/>
        </w:rPr>
        <w:t xml:space="preserve">dstotku </w:t>
      </w:r>
      <w:r w:rsidR="006D69E5" w:rsidRPr="003960AA">
        <w:rPr>
          <w:rFonts w:cs="Arial"/>
          <w:sz w:val="20"/>
          <w:szCs w:val="20"/>
        </w:rPr>
        <w:t xml:space="preserve">je </w:t>
      </w:r>
      <w:r w:rsidR="005530FC" w:rsidRPr="003960AA">
        <w:rPr>
          <w:rFonts w:cs="Arial"/>
          <w:sz w:val="20"/>
          <w:szCs w:val="20"/>
        </w:rPr>
        <w:t xml:space="preserve">glede na matematično rezervacijo ali evidenčno stanje police </w:t>
      </w:r>
      <w:r w:rsidR="00643463" w:rsidRPr="003960AA">
        <w:rPr>
          <w:rFonts w:cs="Arial"/>
          <w:sz w:val="20"/>
          <w:szCs w:val="20"/>
        </w:rPr>
        <w:t xml:space="preserve">dodatek </w:t>
      </w:r>
      <w:r w:rsidR="00401D70" w:rsidRPr="003960AA">
        <w:rPr>
          <w:rFonts w:cs="Arial"/>
          <w:sz w:val="20"/>
          <w:szCs w:val="20"/>
        </w:rPr>
        <w:t>enak za vse</w:t>
      </w:r>
      <w:r w:rsidR="006D69E5" w:rsidRPr="003960AA">
        <w:rPr>
          <w:rFonts w:cs="Arial"/>
          <w:sz w:val="20"/>
          <w:szCs w:val="20"/>
        </w:rPr>
        <w:t xml:space="preserve"> (aktivni člani na dan 31.5.2019, 20% več)</w:t>
      </w:r>
      <w:r w:rsidR="00A95A1D" w:rsidRPr="003960AA">
        <w:rPr>
          <w:rFonts w:cs="Arial"/>
          <w:sz w:val="20"/>
          <w:szCs w:val="20"/>
        </w:rPr>
        <w:t>. Ker se izplača</w:t>
      </w:r>
      <w:r w:rsidR="006D69E5" w:rsidRPr="003960AA">
        <w:rPr>
          <w:rFonts w:cs="Arial"/>
          <w:sz w:val="20"/>
          <w:szCs w:val="20"/>
        </w:rPr>
        <w:t xml:space="preserve"> </w:t>
      </w:r>
      <w:r w:rsidRPr="003960AA">
        <w:rPr>
          <w:rFonts w:cs="Arial"/>
          <w:sz w:val="20"/>
          <w:szCs w:val="20"/>
        </w:rPr>
        <w:t>v enkratnem</w:t>
      </w:r>
      <w:r>
        <w:rPr>
          <w:rFonts w:cs="Arial"/>
          <w:sz w:val="20"/>
          <w:szCs w:val="20"/>
        </w:rPr>
        <w:t xml:space="preserve"> znesku</w:t>
      </w:r>
      <w:r w:rsidR="00A95A1D">
        <w:rPr>
          <w:rFonts w:cs="Arial"/>
          <w:sz w:val="20"/>
          <w:szCs w:val="20"/>
        </w:rPr>
        <w:t xml:space="preserve"> in ne skozi celotno obdobje prejemanja pokojnine, je ta dodatek nominalno v</w:t>
      </w:r>
      <w:r w:rsidR="00401D70">
        <w:rPr>
          <w:rFonts w:cs="Arial"/>
          <w:sz w:val="20"/>
          <w:szCs w:val="20"/>
        </w:rPr>
        <w:t>išji</w:t>
      </w:r>
      <w:r w:rsidR="00A95A1D">
        <w:rPr>
          <w:rFonts w:cs="Arial"/>
          <w:sz w:val="20"/>
          <w:szCs w:val="20"/>
        </w:rPr>
        <w:t xml:space="preserve"> za mlajše člane, ki </w:t>
      </w:r>
      <w:r w:rsidR="00401D70">
        <w:rPr>
          <w:rFonts w:cs="Arial"/>
          <w:sz w:val="20"/>
          <w:szCs w:val="20"/>
        </w:rPr>
        <w:t>bi ga sicer prejemali daljše obdobje.</w:t>
      </w:r>
    </w:p>
    <w:p w14:paraId="3A06A957" w14:textId="77777777" w:rsidR="002878D0" w:rsidRDefault="002878D0" w:rsidP="00B34D2B">
      <w:pPr>
        <w:spacing w:line="240" w:lineRule="auto"/>
        <w:contextualSpacing/>
        <w:rPr>
          <w:rFonts w:cs="Arial"/>
          <w:sz w:val="20"/>
          <w:szCs w:val="20"/>
        </w:rPr>
      </w:pPr>
    </w:p>
    <w:p w14:paraId="2C9B30B2" w14:textId="38ABF5DE" w:rsidR="004B73B6" w:rsidRDefault="00DB6F76" w:rsidP="00E80716">
      <w:pPr>
        <w:pStyle w:val="Odstavekseznama"/>
        <w:numPr>
          <w:ilvl w:val="0"/>
          <w:numId w:val="4"/>
        </w:numPr>
        <w:spacing w:line="240" w:lineRule="auto"/>
        <w:ind w:left="357" w:hanging="357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 </w:t>
      </w:r>
      <w:r w:rsidR="0092062C">
        <w:rPr>
          <w:rFonts w:cs="Arial"/>
          <w:b/>
          <w:sz w:val="20"/>
          <w:szCs w:val="20"/>
        </w:rPr>
        <w:t>P</w:t>
      </w:r>
      <w:r w:rsidR="00261086">
        <w:rPr>
          <w:rFonts w:cs="Arial"/>
          <w:b/>
          <w:sz w:val="20"/>
          <w:szCs w:val="20"/>
        </w:rPr>
        <w:t>RENOS</w:t>
      </w:r>
      <w:r>
        <w:rPr>
          <w:rFonts w:cs="Arial"/>
          <w:b/>
          <w:sz w:val="20"/>
          <w:szCs w:val="20"/>
        </w:rPr>
        <w:t xml:space="preserve"> RPZ</w:t>
      </w:r>
      <w:r w:rsidR="0092062C">
        <w:rPr>
          <w:rFonts w:cs="Arial"/>
          <w:b/>
          <w:sz w:val="20"/>
          <w:szCs w:val="20"/>
        </w:rPr>
        <w:t xml:space="preserve"> </w:t>
      </w:r>
      <w:r w:rsidR="00261086">
        <w:rPr>
          <w:rFonts w:cs="Arial"/>
          <w:b/>
          <w:sz w:val="20"/>
          <w:szCs w:val="20"/>
        </w:rPr>
        <w:t>NA NOVOUSTANOVLJENO ZAVAROVALNICO</w:t>
      </w:r>
    </w:p>
    <w:p w14:paraId="3A19790B" w14:textId="3D372C30" w:rsidR="0082553A" w:rsidRDefault="00330E11" w:rsidP="0082553A">
      <w:pPr>
        <w:spacing w:line="240" w:lineRule="auto"/>
        <w:contextualSpacing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</w:t>
      </w:r>
      <w:r w:rsidR="00E04BD8">
        <w:rPr>
          <w:rFonts w:cs="Arial"/>
          <w:sz w:val="20"/>
          <w:szCs w:val="20"/>
        </w:rPr>
        <w:t xml:space="preserve"> 1.4.2021 so </w:t>
      </w:r>
      <w:r w:rsidR="00643463">
        <w:rPr>
          <w:rFonts w:cs="Arial"/>
          <w:sz w:val="20"/>
          <w:szCs w:val="20"/>
        </w:rPr>
        <w:t xml:space="preserve">se </w:t>
      </w:r>
      <w:r w:rsidR="00E04BD8">
        <w:rPr>
          <w:rFonts w:cs="Arial"/>
          <w:sz w:val="20"/>
          <w:szCs w:val="20"/>
        </w:rPr>
        <w:t xml:space="preserve">RPZ zavarovanja </w:t>
      </w:r>
      <w:r w:rsidR="00643463">
        <w:rPr>
          <w:rFonts w:cs="Arial"/>
          <w:sz w:val="20"/>
          <w:szCs w:val="20"/>
        </w:rPr>
        <w:t xml:space="preserve">prenesla </w:t>
      </w:r>
      <w:r w:rsidR="00E04BD8">
        <w:rPr>
          <w:rFonts w:cs="Arial"/>
          <w:sz w:val="20"/>
          <w:szCs w:val="20"/>
        </w:rPr>
        <w:t>na Zavarovalnic</w:t>
      </w:r>
      <w:r w:rsidR="00643463">
        <w:rPr>
          <w:rFonts w:cs="Arial"/>
          <w:sz w:val="20"/>
          <w:szCs w:val="20"/>
        </w:rPr>
        <w:t>o</w:t>
      </w:r>
      <w:r w:rsidR="00F746F9">
        <w:rPr>
          <w:rFonts w:cs="Arial"/>
          <w:sz w:val="20"/>
          <w:szCs w:val="20"/>
        </w:rPr>
        <w:t xml:space="preserve">. </w:t>
      </w:r>
      <w:r w:rsidR="00F746F9" w:rsidRPr="003960AA">
        <w:rPr>
          <w:rFonts w:cs="Arial"/>
          <w:sz w:val="20"/>
          <w:szCs w:val="20"/>
        </w:rPr>
        <w:t xml:space="preserve">Od </w:t>
      </w:r>
      <w:r w:rsidR="00643463" w:rsidRPr="003960AA">
        <w:rPr>
          <w:rFonts w:cs="Arial"/>
          <w:sz w:val="20"/>
          <w:szCs w:val="20"/>
        </w:rPr>
        <w:t xml:space="preserve">tega dne dalje se RPZ izvaja na Zavarovalnici in SOP nima več neposrednih obveznosti do teh članov, ampak jih je prevzela Zavarovalnica. </w:t>
      </w:r>
      <w:r w:rsidR="0082553A" w:rsidRPr="003960AA">
        <w:rPr>
          <w:rFonts w:cs="Arial"/>
          <w:sz w:val="20"/>
          <w:szCs w:val="20"/>
        </w:rPr>
        <w:t>Vse pravice članov iz pogodb so ostale enake</w:t>
      </w:r>
      <w:r w:rsidR="00B11428" w:rsidRPr="003960AA">
        <w:rPr>
          <w:rFonts w:cs="Arial"/>
          <w:sz w:val="20"/>
          <w:szCs w:val="20"/>
        </w:rPr>
        <w:t>.</w:t>
      </w:r>
      <w:r w:rsidR="0082553A" w:rsidRPr="003960AA">
        <w:rPr>
          <w:rFonts w:cs="Arial"/>
          <w:sz w:val="20"/>
          <w:szCs w:val="20"/>
        </w:rPr>
        <w:t xml:space="preserve"> </w:t>
      </w:r>
      <w:r w:rsidR="00B11428" w:rsidRPr="003960AA">
        <w:rPr>
          <w:rFonts w:cs="Arial"/>
          <w:sz w:val="20"/>
          <w:szCs w:val="20"/>
        </w:rPr>
        <w:t>Z</w:t>
      </w:r>
      <w:r w:rsidR="0082553A" w:rsidRPr="003960AA">
        <w:rPr>
          <w:rFonts w:cs="Arial"/>
          <w:sz w:val="20"/>
          <w:szCs w:val="20"/>
        </w:rPr>
        <w:t>amenjal se je</w:t>
      </w:r>
      <w:r w:rsidR="0044329D" w:rsidRPr="003960AA">
        <w:rPr>
          <w:rFonts w:cs="Arial"/>
          <w:sz w:val="20"/>
          <w:szCs w:val="20"/>
        </w:rPr>
        <w:t xml:space="preserve"> le</w:t>
      </w:r>
      <w:r w:rsidR="0082553A" w:rsidRPr="003960AA">
        <w:rPr>
          <w:rFonts w:cs="Arial"/>
          <w:sz w:val="20"/>
          <w:szCs w:val="20"/>
        </w:rPr>
        <w:t xml:space="preserve"> izvajalec zavarovanj, ki je sedaj Zavarovalnica.</w:t>
      </w:r>
      <w:r w:rsidR="0082553A">
        <w:rPr>
          <w:rFonts w:cs="Arial"/>
          <w:sz w:val="20"/>
          <w:szCs w:val="20"/>
        </w:rPr>
        <w:t xml:space="preserve"> </w:t>
      </w:r>
    </w:p>
    <w:p w14:paraId="44678A28" w14:textId="77777777" w:rsidR="004B73B6" w:rsidRDefault="004B73B6" w:rsidP="00B34D2B">
      <w:pPr>
        <w:spacing w:line="240" w:lineRule="auto"/>
        <w:contextualSpacing/>
        <w:rPr>
          <w:rFonts w:cs="Arial"/>
          <w:sz w:val="20"/>
          <w:szCs w:val="20"/>
        </w:rPr>
      </w:pPr>
    </w:p>
    <w:p w14:paraId="786A7974" w14:textId="42B4620C" w:rsidR="00B11428" w:rsidRPr="003960AA" w:rsidRDefault="00643463" w:rsidP="00643463">
      <w:pPr>
        <w:spacing w:line="240" w:lineRule="auto"/>
        <w:contextualSpacing/>
        <w:jc w:val="both"/>
        <w:outlineLvl w:val="0"/>
        <w:rPr>
          <w:rFonts w:cs="Arial"/>
          <w:sz w:val="20"/>
          <w:szCs w:val="20"/>
        </w:rPr>
      </w:pPr>
      <w:r w:rsidRPr="003960AA">
        <w:rPr>
          <w:rFonts w:cs="Arial"/>
          <w:sz w:val="20"/>
          <w:szCs w:val="20"/>
        </w:rPr>
        <w:t>Ker člani RPZ niso več neposredno vključeni v SOP</w:t>
      </w:r>
      <w:r w:rsidR="00B11428" w:rsidRPr="003960AA">
        <w:rPr>
          <w:rFonts w:cs="Arial"/>
          <w:sz w:val="20"/>
          <w:szCs w:val="20"/>
        </w:rPr>
        <w:t>,</w:t>
      </w:r>
      <w:r w:rsidRPr="003960AA">
        <w:rPr>
          <w:rFonts w:cs="Arial"/>
          <w:sz w:val="20"/>
          <w:szCs w:val="20"/>
        </w:rPr>
        <w:t xml:space="preserve"> ne morejo uveljavljati članskih pravic SOP. Če želijo zavarovanci RPZ</w:t>
      </w:r>
      <w:r w:rsidR="00AE7D1A" w:rsidRPr="003960AA">
        <w:rPr>
          <w:rFonts w:cs="Arial"/>
          <w:sz w:val="20"/>
          <w:szCs w:val="20"/>
        </w:rPr>
        <w:t xml:space="preserve"> kot člani SOP</w:t>
      </w:r>
      <w:r w:rsidRPr="003960AA">
        <w:rPr>
          <w:rFonts w:cs="Arial"/>
          <w:sz w:val="20"/>
          <w:szCs w:val="20"/>
        </w:rPr>
        <w:t xml:space="preserve"> še naprej sodelovati v upravljanju SOP</w:t>
      </w:r>
      <w:r w:rsidR="00B11428" w:rsidRPr="003960AA">
        <w:rPr>
          <w:rFonts w:cs="Arial"/>
          <w:sz w:val="20"/>
          <w:szCs w:val="20"/>
        </w:rPr>
        <w:t xml:space="preserve"> </w:t>
      </w:r>
      <w:r w:rsidR="00AE7D1A" w:rsidRPr="003960AA">
        <w:rPr>
          <w:rFonts w:cs="Arial"/>
          <w:sz w:val="20"/>
          <w:szCs w:val="20"/>
        </w:rPr>
        <w:t>(člani lahko volijo in so izvoljeni v organe skupščine)</w:t>
      </w:r>
      <w:r w:rsidRPr="003960AA">
        <w:rPr>
          <w:rFonts w:cs="Arial"/>
          <w:sz w:val="20"/>
          <w:szCs w:val="20"/>
        </w:rPr>
        <w:t>, morajo podpisati pristopn</w:t>
      </w:r>
      <w:r w:rsidR="00B11428" w:rsidRPr="003960AA">
        <w:rPr>
          <w:rFonts w:cs="Arial"/>
          <w:sz w:val="20"/>
          <w:szCs w:val="20"/>
        </w:rPr>
        <w:t>o</w:t>
      </w:r>
      <w:r w:rsidRPr="003960AA">
        <w:rPr>
          <w:rFonts w:cs="Arial"/>
          <w:sz w:val="20"/>
          <w:szCs w:val="20"/>
        </w:rPr>
        <w:t xml:space="preserve"> izjav</w:t>
      </w:r>
      <w:r w:rsidR="00B11428" w:rsidRPr="003960AA">
        <w:rPr>
          <w:rFonts w:cs="Arial"/>
          <w:sz w:val="20"/>
          <w:szCs w:val="20"/>
        </w:rPr>
        <w:t>o</w:t>
      </w:r>
      <w:r w:rsidRPr="003960AA">
        <w:rPr>
          <w:rFonts w:cs="Arial"/>
          <w:sz w:val="20"/>
          <w:szCs w:val="20"/>
        </w:rPr>
        <w:t xml:space="preserve">. </w:t>
      </w:r>
    </w:p>
    <w:p w14:paraId="62F73B3C" w14:textId="77777777" w:rsidR="00B11428" w:rsidRPr="003960AA" w:rsidRDefault="00B11428" w:rsidP="00643463">
      <w:pPr>
        <w:spacing w:line="240" w:lineRule="auto"/>
        <w:contextualSpacing/>
        <w:jc w:val="both"/>
        <w:outlineLvl w:val="0"/>
        <w:rPr>
          <w:rFonts w:cs="Arial"/>
          <w:sz w:val="20"/>
          <w:szCs w:val="20"/>
        </w:rPr>
      </w:pPr>
    </w:p>
    <w:p w14:paraId="3D7A5ADA" w14:textId="3C8A5319" w:rsidR="00643463" w:rsidRDefault="00643463" w:rsidP="00643463">
      <w:pPr>
        <w:spacing w:line="240" w:lineRule="auto"/>
        <w:contextualSpacing/>
        <w:jc w:val="both"/>
        <w:outlineLvl w:val="0"/>
        <w:rPr>
          <w:rFonts w:cs="Arial"/>
          <w:sz w:val="20"/>
          <w:szCs w:val="20"/>
        </w:rPr>
      </w:pPr>
      <w:r w:rsidRPr="003960AA">
        <w:rPr>
          <w:rFonts w:cs="Arial"/>
          <w:sz w:val="20"/>
          <w:szCs w:val="20"/>
        </w:rPr>
        <w:t>Predlagamo, da pristopn</w:t>
      </w:r>
      <w:r w:rsidR="00B11428" w:rsidRPr="003960AA">
        <w:rPr>
          <w:rFonts w:cs="Arial"/>
          <w:sz w:val="20"/>
          <w:szCs w:val="20"/>
        </w:rPr>
        <w:t>o</w:t>
      </w:r>
      <w:r w:rsidRPr="003960AA">
        <w:rPr>
          <w:rFonts w:cs="Arial"/>
          <w:sz w:val="20"/>
          <w:szCs w:val="20"/>
        </w:rPr>
        <w:t xml:space="preserve"> izjav</w:t>
      </w:r>
      <w:r w:rsidR="00B11428" w:rsidRPr="003960AA">
        <w:rPr>
          <w:rFonts w:cs="Arial"/>
          <w:sz w:val="20"/>
          <w:szCs w:val="20"/>
        </w:rPr>
        <w:t>o</w:t>
      </w:r>
      <w:r w:rsidRPr="003960AA">
        <w:rPr>
          <w:rFonts w:cs="Arial"/>
          <w:sz w:val="20"/>
          <w:szCs w:val="20"/>
        </w:rPr>
        <w:t xml:space="preserve"> izpolnite in </w:t>
      </w:r>
      <w:r w:rsidR="00B11428" w:rsidRPr="003960AA">
        <w:rPr>
          <w:rFonts w:cs="Arial"/>
          <w:sz w:val="20"/>
          <w:szCs w:val="20"/>
        </w:rPr>
        <w:t xml:space="preserve">jo </w:t>
      </w:r>
      <w:r w:rsidRPr="003960AA">
        <w:rPr>
          <w:rFonts w:cs="Arial"/>
          <w:sz w:val="20"/>
          <w:szCs w:val="20"/>
        </w:rPr>
        <w:t>vrnete na SOP</w:t>
      </w:r>
      <w:r w:rsidR="00AE7D1A" w:rsidRPr="003960AA">
        <w:rPr>
          <w:rFonts w:cs="Arial"/>
          <w:sz w:val="20"/>
          <w:szCs w:val="20"/>
        </w:rPr>
        <w:t xml:space="preserve"> v priloženi kuverti</w:t>
      </w:r>
      <w:r w:rsidR="00B11428" w:rsidRPr="003960AA">
        <w:rPr>
          <w:rFonts w:cs="Arial"/>
          <w:sz w:val="20"/>
          <w:szCs w:val="20"/>
        </w:rPr>
        <w:t>.</w:t>
      </w:r>
    </w:p>
    <w:p w14:paraId="7C6B5A76" w14:textId="77777777" w:rsidR="00643463" w:rsidRDefault="00643463" w:rsidP="00B34D2B">
      <w:pPr>
        <w:spacing w:line="240" w:lineRule="auto"/>
        <w:contextualSpacing/>
        <w:rPr>
          <w:rFonts w:cs="Arial"/>
          <w:sz w:val="20"/>
          <w:szCs w:val="20"/>
        </w:rPr>
      </w:pPr>
    </w:p>
    <w:p w14:paraId="532BFFEA" w14:textId="38042495" w:rsidR="00076761" w:rsidRDefault="00076761" w:rsidP="00E80716">
      <w:pPr>
        <w:pStyle w:val="Odstavekseznama"/>
        <w:numPr>
          <w:ilvl w:val="0"/>
          <w:numId w:val="4"/>
        </w:numPr>
        <w:spacing w:line="240" w:lineRule="auto"/>
        <w:ind w:left="357" w:hanging="357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U</w:t>
      </w:r>
      <w:r w:rsidR="00261086">
        <w:rPr>
          <w:rFonts w:cs="Arial"/>
          <w:b/>
          <w:sz w:val="20"/>
          <w:szCs w:val="20"/>
        </w:rPr>
        <w:t>PRAVLJANJE</w:t>
      </w:r>
      <w:r>
        <w:rPr>
          <w:rFonts w:cs="Arial"/>
          <w:b/>
          <w:sz w:val="20"/>
          <w:szCs w:val="20"/>
        </w:rPr>
        <w:t xml:space="preserve"> SOP</w:t>
      </w:r>
    </w:p>
    <w:p w14:paraId="108D4CC5" w14:textId="192948C7" w:rsidR="0082553A" w:rsidRDefault="0082553A" w:rsidP="008736CE">
      <w:pPr>
        <w:spacing w:line="240" w:lineRule="auto"/>
        <w:contextualSpacing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Konec leta </w:t>
      </w:r>
      <w:r w:rsidR="005A63DE">
        <w:rPr>
          <w:rFonts w:cs="Arial"/>
          <w:sz w:val="20"/>
          <w:szCs w:val="20"/>
        </w:rPr>
        <w:t xml:space="preserve">2020 </w:t>
      </w:r>
      <w:r>
        <w:rPr>
          <w:rFonts w:cs="Arial"/>
          <w:sz w:val="20"/>
          <w:szCs w:val="20"/>
        </w:rPr>
        <w:t xml:space="preserve">so potekale volitve za člane skupščine SOP in </w:t>
      </w:r>
      <w:r w:rsidR="00AE7D1A">
        <w:rPr>
          <w:rFonts w:cs="Arial"/>
          <w:sz w:val="20"/>
          <w:szCs w:val="20"/>
        </w:rPr>
        <w:t>z letom 2021</w:t>
      </w:r>
      <w:r>
        <w:rPr>
          <w:rFonts w:cs="Arial"/>
          <w:sz w:val="20"/>
          <w:szCs w:val="20"/>
        </w:rPr>
        <w:t xml:space="preserve"> je </w:t>
      </w:r>
      <w:r w:rsidR="005A63DE">
        <w:rPr>
          <w:rFonts w:cs="Arial"/>
          <w:sz w:val="20"/>
          <w:szCs w:val="20"/>
        </w:rPr>
        <w:t xml:space="preserve">mandat </w:t>
      </w:r>
      <w:r>
        <w:rPr>
          <w:rFonts w:cs="Arial"/>
          <w:sz w:val="20"/>
          <w:szCs w:val="20"/>
        </w:rPr>
        <w:t>nastopila nova skupščina.</w:t>
      </w:r>
    </w:p>
    <w:p w14:paraId="6A7F3C95" w14:textId="77777777" w:rsidR="0082553A" w:rsidRDefault="0082553A" w:rsidP="008736CE">
      <w:pPr>
        <w:spacing w:line="240" w:lineRule="auto"/>
        <w:contextualSpacing/>
        <w:jc w:val="both"/>
        <w:rPr>
          <w:rFonts w:cs="Arial"/>
          <w:sz w:val="20"/>
          <w:szCs w:val="20"/>
        </w:rPr>
      </w:pPr>
    </w:p>
    <w:p w14:paraId="25EB47C7" w14:textId="5447AD2D" w:rsidR="0082553A" w:rsidRPr="003960AA" w:rsidRDefault="0082553A" w:rsidP="008736CE">
      <w:pPr>
        <w:spacing w:line="240" w:lineRule="auto"/>
        <w:contextualSpacing/>
        <w:jc w:val="both"/>
        <w:rPr>
          <w:rFonts w:cs="Arial"/>
          <w:sz w:val="20"/>
          <w:szCs w:val="20"/>
        </w:rPr>
      </w:pPr>
      <w:r w:rsidRPr="003960AA">
        <w:rPr>
          <w:rFonts w:cs="Arial"/>
          <w:sz w:val="20"/>
          <w:szCs w:val="20"/>
        </w:rPr>
        <w:t>Dne</w:t>
      </w:r>
      <w:r w:rsidR="00101C6A" w:rsidRPr="003960AA">
        <w:rPr>
          <w:rFonts w:cs="Arial"/>
          <w:sz w:val="20"/>
          <w:szCs w:val="20"/>
        </w:rPr>
        <w:t xml:space="preserve"> 7.4.2021 </w:t>
      </w:r>
      <w:r w:rsidRPr="003960AA">
        <w:rPr>
          <w:rFonts w:cs="Arial"/>
          <w:sz w:val="20"/>
          <w:szCs w:val="20"/>
        </w:rPr>
        <w:t xml:space="preserve">je potekala skupščina v novi sestavi, ki se je seznanila s potekom volitev. </w:t>
      </w:r>
    </w:p>
    <w:p w14:paraId="62BFA8A6" w14:textId="77777777" w:rsidR="0082553A" w:rsidRPr="003960AA" w:rsidRDefault="0082553A" w:rsidP="008736CE">
      <w:pPr>
        <w:spacing w:line="240" w:lineRule="auto"/>
        <w:contextualSpacing/>
        <w:jc w:val="both"/>
        <w:rPr>
          <w:rFonts w:cs="Arial"/>
          <w:sz w:val="20"/>
          <w:szCs w:val="20"/>
        </w:rPr>
      </w:pPr>
    </w:p>
    <w:p w14:paraId="77FE10DD" w14:textId="290DDA38" w:rsidR="0082553A" w:rsidRPr="003960AA" w:rsidRDefault="0082553A" w:rsidP="0082553A">
      <w:pPr>
        <w:spacing w:line="240" w:lineRule="auto"/>
        <w:contextualSpacing/>
        <w:jc w:val="both"/>
        <w:rPr>
          <w:rFonts w:cs="Arial"/>
          <w:sz w:val="20"/>
          <w:szCs w:val="20"/>
        </w:rPr>
      </w:pPr>
      <w:r w:rsidRPr="003960AA">
        <w:rPr>
          <w:rFonts w:cs="Arial"/>
          <w:sz w:val="20"/>
          <w:szCs w:val="20"/>
        </w:rPr>
        <w:t>Mandat je prenehal dvema članoma Posvetovalnega odbora. Odločanje o novih članih</w:t>
      </w:r>
      <w:r w:rsidR="00643463" w:rsidRPr="003960AA">
        <w:rPr>
          <w:rFonts w:cs="Arial"/>
          <w:sz w:val="20"/>
          <w:szCs w:val="20"/>
        </w:rPr>
        <w:t xml:space="preserve"> </w:t>
      </w:r>
      <w:r w:rsidR="00D273B5" w:rsidRPr="003960AA">
        <w:rPr>
          <w:rFonts w:cs="Arial"/>
          <w:sz w:val="20"/>
          <w:szCs w:val="20"/>
        </w:rPr>
        <w:t>P</w:t>
      </w:r>
      <w:r w:rsidRPr="003960AA">
        <w:rPr>
          <w:rFonts w:cs="Arial"/>
          <w:sz w:val="20"/>
          <w:szCs w:val="20"/>
        </w:rPr>
        <w:t>osvetovalnega odbora je skupščina preložila</w:t>
      </w:r>
      <w:r w:rsidR="00A25509" w:rsidRPr="003960AA">
        <w:rPr>
          <w:rFonts w:cs="Arial"/>
          <w:sz w:val="20"/>
          <w:szCs w:val="20"/>
        </w:rPr>
        <w:t>.</w:t>
      </w:r>
      <w:r w:rsidRPr="003960AA">
        <w:rPr>
          <w:rFonts w:cs="Arial"/>
          <w:sz w:val="20"/>
          <w:szCs w:val="20"/>
        </w:rPr>
        <w:t xml:space="preserve"> Delo </w:t>
      </w:r>
      <w:r w:rsidR="00D273B5" w:rsidRPr="003960AA">
        <w:rPr>
          <w:rFonts w:cs="Arial"/>
          <w:sz w:val="20"/>
          <w:szCs w:val="20"/>
        </w:rPr>
        <w:t>P</w:t>
      </w:r>
      <w:r w:rsidRPr="003960AA">
        <w:rPr>
          <w:rFonts w:cs="Arial"/>
          <w:sz w:val="20"/>
          <w:szCs w:val="20"/>
        </w:rPr>
        <w:t>osvetovalnega odbora je strokovne narave, saj se bistveno bolj</w:t>
      </w:r>
      <w:r w:rsidR="00643463" w:rsidRPr="003960AA">
        <w:rPr>
          <w:rFonts w:cs="Arial"/>
          <w:sz w:val="20"/>
          <w:szCs w:val="20"/>
        </w:rPr>
        <w:t xml:space="preserve"> </w:t>
      </w:r>
      <w:r w:rsidRPr="003960AA">
        <w:rPr>
          <w:rFonts w:cs="Arial"/>
          <w:sz w:val="20"/>
          <w:szCs w:val="20"/>
        </w:rPr>
        <w:t>poglobi v celotno poslovanje SOP in odprta vprašanja obravnava podrobnej</w:t>
      </w:r>
      <w:r w:rsidR="004419A7" w:rsidRPr="003960AA">
        <w:rPr>
          <w:rFonts w:cs="Arial"/>
          <w:sz w:val="20"/>
          <w:szCs w:val="20"/>
        </w:rPr>
        <w:t>e</w:t>
      </w:r>
      <w:r w:rsidRPr="003960AA">
        <w:rPr>
          <w:rFonts w:cs="Arial"/>
          <w:sz w:val="20"/>
          <w:szCs w:val="20"/>
        </w:rPr>
        <w:t xml:space="preserve">. Posvetovalni odbor ne odloča, </w:t>
      </w:r>
      <w:r w:rsidR="004419A7" w:rsidRPr="003960AA">
        <w:rPr>
          <w:rFonts w:cs="Arial"/>
          <w:sz w:val="20"/>
          <w:szCs w:val="20"/>
        </w:rPr>
        <w:t xml:space="preserve">temveč </w:t>
      </w:r>
      <w:r w:rsidRPr="003960AA">
        <w:rPr>
          <w:rFonts w:cs="Arial"/>
          <w:sz w:val="20"/>
          <w:szCs w:val="20"/>
        </w:rPr>
        <w:t>samo poda mnenje k posameznim točkam dnevnega reda skupščine</w:t>
      </w:r>
      <w:r w:rsidR="004419A7" w:rsidRPr="003960AA">
        <w:rPr>
          <w:rFonts w:cs="Arial"/>
          <w:sz w:val="20"/>
          <w:szCs w:val="20"/>
        </w:rPr>
        <w:t>.</w:t>
      </w:r>
      <w:r w:rsidRPr="003960AA">
        <w:rPr>
          <w:rFonts w:cs="Arial"/>
          <w:sz w:val="20"/>
          <w:szCs w:val="20"/>
        </w:rPr>
        <w:t xml:space="preserve"> </w:t>
      </w:r>
      <w:r w:rsidR="004419A7" w:rsidRPr="003960AA">
        <w:rPr>
          <w:rFonts w:cs="Arial"/>
          <w:sz w:val="20"/>
          <w:szCs w:val="20"/>
        </w:rPr>
        <w:t xml:space="preserve">S </w:t>
      </w:r>
      <w:r w:rsidRPr="003960AA">
        <w:rPr>
          <w:rFonts w:cs="Arial"/>
          <w:sz w:val="20"/>
          <w:szCs w:val="20"/>
        </w:rPr>
        <w:t>tem opravi strokovno delo v pomoč za odločanje na skupščini.</w:t>
      </w:r>
    </w:p>
    <w:p w14:paraId="5DDCE193" w14:textId="77777777" w:rsidR="0082553A" w:rsidRPr="003960AA" w:rsidRDefault="0082553A" w:rsidP="008736CE">
      <w:pPr>
        <w:spacing w:line="240" w:lineRule="auto"/>
        <w:contextualSpacing/>
        <w:jc w:val="both"/>
        <w:rPr>
          <w:rFonts w:cs="Arial"/>
          <w:sz w:val="20"/>
          <w:szCs w:val="20"/>
        </w:rPr>
      </w:pPr>
    </w:p>
    <w:p w14:paraId="41D71B8A" w14:textId="77777777" w:rsidR="0082553A" w:rsidRDefault="0082553A" w:rsidP="008736CE">
      <w:pPr>
        <w:spacing w:line="240" w:lineRule="auto"/>
        <w:contextualSpacing/>
        <w:jc w:val="both"/>
        <w:rPr>
          <w:rFonts w:cs="Arial"/>
          <w:sz w:val="20"/>
          <w:szCs w:val="20"/>
        </w:rPr>
      </w:pPr>
      <w:r w:rsidRPr="003960AA">
        <w:rPr>
          <w:rFonts w:cs="Arial"/>
          <w:sz w:val="20"/>
          <w:szCs w:val="20"/>
        </w:rPr>
        <w:t>Organi upravljanja Zavarovalnice so v letu 2020 začeli polno delovati.</w:t>
      </w:r>
    </w:p>
    <w:p w14:paraId="3156144B" w14:textId="77777777" w:rsidR="00C368E9" w:rsidRDefault="00C368E9" w:rsidP="00B34D2B">
      <w:pPr>
        <w:spacing w:line="240" w:lineRule="auto"/>
        <w:contextualSpacing/>
        <w:rPr>
          <w:rFonts w:cs="Arial"/>
          <w:sz w:val="20"/>
          <w:szCs w:val="20"/>
        </w:rPr>
      </w:pPr>
    </w:p>
    <w:p w14:paraId="1E94E342" w14:textId="1F6CAD5E" w:rsidR="00C960C2" w:rsidRDefault="00F66919" w:rsidP="00E80716">
      <w:pPr>
        <w:pStyle w:val="Odstavekseznama"/>
        <w:numPr>
          <w:ilvl w:val="0"/>
          <w:numId w:val="4"/>
        </w:numPr>
        <w:spacing w:line="240" w:lineRule="auto"/>
        <w:ind w:left="357" w:hanging="357"/>
        <w:rPr>
          <w:rFonts w:cs="Arial"/>
          <w:b/>
          <w:sz w:val="20"/>
          <w:szCs w:val="20"/>
        </w:rPr>
      </w:pPr>
      <w:r w:rsidRPr="00C368E9">
        <w:rPr>
          <w:rFonts w:cs="Arial"/>
          <w:b/>
          <w:sz w:val="20"/>
          <w:szCs w:val="20"/>
        </w:rPr>
        <w:t>P</w:t>
      </w:r>
      <w:r w:rsidR="00261086">
        <w:rPr>
          <w:rFonts w:cs="Arial"/>
          <w:b/>
          <w:sz w:val="20"/>
          <w:szCs w:val="20"/>
        </w:rPr>
        <w:t>RODUKTI IN UPRAVLJANJE NALOŽB</w:t>
      </w:r>
    </w:p>
    <w:p w14:paraId="1B1A28B5" w14:textId="77777777" w:rsidR="00F66919" w:rsidRPr="00C368E9" w:rsidRDefault="00F66919" w:rsidP="00C368E9">
      <w:pPr>
        <w:pStyle w:val="Odstavekseznama"/>
        <w:spacing w:line="240" w:lineRule="auto"/>
        <w:rPr>
          <w:rFonts w:cs="Arial"/>
          <w:b/>
          <w:sz w:val="20"/>
          <w:szCs w:val="20"/>
        </w:rPr>
      </w:pPr>
    </w:p>
    <w:p w14:paraId="55986DF6" w14:textId="64314B32" w:rsidR="008D223F" w:rsidRPr="005E3B76" w:rsidRDefault="00F66919" w:rsidP="00D06B8A">
      <w:pPr>
        <w:keepNext/>
        <w:spacing w:line="240" w:lineRule="auto"/>
        <w:contextualSpacing/>
        <w:outlineLvl w:val="0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5.1. </w:t>
      </w:r>
      <w:r w:rsidR="008D223F" w:rsidRPr="005E3B76">
        <w:rPr>
          <w:rFonts w:cs="Arial"/>
          <w:b/>
          <w:sz w:val="20"/>
          <w:szCs w:val="20"/>
        </w:rPr>
        <w:t>R</w:t>
      </w:r>
      <w:r>
        <w:rPr>
          <w:rFonts w:cs="Arial"/>
          <w:b/>
          <w:sz w:val="20"/>
          <w:szCs w:val="20"/>
        </w:rPr>
        <w:t xml:space="preserve">entno pokojninsko zavarovanje </w:t>
      </w:r>
      <w:r w:rsidR="008D223F" w:rsidRPr="005E3B76">
        <w:rPr>
          <w:rFonts w:cs="Arial"/>
          <w:b/>
          <w:sz w:val="20"/>
          <w:szCs w:val="20"/>
        </w:rPr>
        <w:t>(RPZ)</w:t>
      </w:r>
    </w:p>
    <w:p w14:paraId="53BF57C6" w14:textId="77777777" w:rsidR="007B4DA2" w:rsidRDefault="007B4DA2" w:rsidP="00D06B8A">
      <w:pPr>
        <w:keepNext/>
        <w:spacing w:line="240" w:lineRule="auto"/>
        <w:contextualSpacing/>
        <w:outlineLvl w:val="0"/>
        <w:rPr>
          <w:rFonts w:cs="Arial"/>
          <w:sz w:val="20"/>
          <w:szCs w:val="20"/>
        </w:rPr>
      </w:pPr>
    </w:p>
    <w:p w14:paraId="545DD943" w14:textId="476FDDAF" w:rsidR="008D223F" w:rsidRDefault="008D223F" w:rsidP="008736CE">
      <w:pPr>
        <w:spacing w:line="240" w:lineRule="auto"/>
        <w:contextualSpacing/>
        <w:jc w:val="both"/>
        <w:outlineLvl w:val="0"/>
        <w:rPr>
          <w:rFonts w:cs="Arial"/>
          <w:sz w:val="20"/>
          <w:szCs w:val="20"/>
        </w:rPr>
      </w:pPr>
      <w:r w:rsidRPr="005E3B76">
        <w:rPr>
          <w:rFonts w:cs="Arial"/>
          <w:sz w:val="20"/>
          <w:szCs w:val="20"/>
        </w:rPr>
        <w:t>R</w:t>
      </w:r>
      <w:r w:rsidR="00C368E9">
        <w:rPr>
          <w:rFonts w:cs="Arial"/>
          <w:sz w:val="20"/>
          <w:szCs w:val="20"/>
        </w:rPr>
        <w:t>PZ</w:t>
      </w:r>
      <w:r w:rsidRPr="005E3B76">
        <w:rPr>
          <w:rFonts w:cs="Arial"/>
          <w:sz w:val="20"/>
          <w:szCs w:val="20"/>
        </w:rPr>
        <w:t xml:space="preserve"> nudi zavarovanje za dodatno starostno, družinsko in invalidsko pokojnino in je najbližje klasičnim življenjskim zavarovanjem zavarovalnic. Poleg tega ima v izračunu vključeno gar</w:t>
      </w:r>
      <w:r w:rsidR="00B12C84">
        <w:rPr>
          <w:rFonts w:cs="Arial"/>
          <w:sz w:val="20"/>
          <w:szCs w:val="20"/>
        </w:rPr>
        <w:t>antirano tehnično obrestno mero</w:t>
      </w:r>
      <w:r w:rsidR="00A25509">
        <w:rPr>
          <w:rFonts w:cs="Arial"/>
          <w:sz w:val="20"/>
          <w:szCs w:val="20"/>
        </w:rPr>
        <w:t>.</w:t>
      </w:r>
      <w:r w:rsidR="00B12C84">
        <w:rPr>
          <w:rFonts w:cs="Arial"/>
          <w:sz w:val="20"/>
          <w:szCs w:val="20"/>
        </w:rPr>
        <w:t xml:space="preserve"> </w:t>
      </w:r>
      <w:r w:rsidRPr="005E3B76">
        <w:rPr>
          <w:rFonts w:cs="Arial"/>
          <w:sz w:val="20"/>
          <w:szCs w:val="20"/>
        </w:rPr>
        <w:t xml:space="preserve">V skladu s pogoji </w:t>
      </w:r>
      <w:r w:rsidR="00C368E9">
        <w:rPr>
          <w:rFonts w:cs="Arial"/>
          <w:sz w:val="20"/>
          <w:szCs w:val="20"/>
        </w:rPr>
        <w:t>RPZ</w:t>
      </w:r>
      <w:r w:rsidRPr="005E3B76">
        <w:rPr>
          <w:rFonts w:cs="Arial"/>
          <w:sz w:val="20"/>
          <w:szCs w:val="20"/>
        </w:rPr>
        <w:t xml:space="preserve"> mora SOP zagotavljati pokojnino v najmanj predpisani višini, kar pri tako dolgoročnem zavarovanju prinaša tveganje tako z vidika finančnih naložb, kot z vidika aktuarskih tveganj. </w:t>
      </w:r>
    </w:p>
    <w:p w14:paraId="46ABC17F" w14:textId="77777777" w:rsidR="002C691B" w:rsidRDefault="002C691B" w:rsidP="008736CE">
      <w:pPr>
        <w:spacing w:line="240" w:lineRule="auto"/>
        <w:contextualSpacing/>
        <w:jc w:val="both"/>
        <w:outlineLvl w:val="0"/>
        <w:rPr>
          <w:rFonts w:cs="Arial"/>
          <w:sz w:val="20"/>
          <w:szCs w:val="20"/>
        </w:rPr>
      </w:pPr>
    </w:p>
    <w:p w14:paraId="462AEFC4" w14:textId="599DA0B2" w:rsidR="002C691B" w:rsidRPr="005E3B76" w:rsidRDefault="002C691B" w:rsidP="008736CE">
      <w:pPr>
        <w:spacing w:line="240" w:lineRule="auto"/>
        <w:contextualSpacing/>
        <w:jc w:val="both"/>
        <w:outlineLvl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Kljub temu, da so bili finančni prihodki na RPZ zavarovanjih ugodni, SOP dobička ni izkazal, ker je zaradi padca obrestnih mer moral bistveno povečati rezervacije.</w:t>
      </w:r>
    </w:p>
    <w:p w14:paraId="2F64D4FB" w14:textId="77777777" w:rsidR="008D223F" w:rsidRDefault="008D223F" w:rsidP="00B34D2B">
      <w:pPr>
        <w:spacing w:line="240" w:lineRule="auto"/>
        <w:contextualSpacing/>
        <w:outlineLvl w:val="0"/>
        <w:rPr>
          <w:rFonts w:cs="Arial"/>
          <w:b/>
          <w:sz w:val="20"/>
          <w:szCs w:val="20"/>
        </w:rPr>
      </w:pPr>
    </w:p>
    <w:p w14:paraId="3149AF8E" w14:textId="721129B5" w:rsidR="00DC452D" w:rsidRDefault="00DC452D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br w:type="page"/>
      </w:r>
    </w:p>
    <w:p w14:paraId="4A4B5B67" w14:textId="24CA8661" w:rsidR="008D223F" w:rsidRDefault="00F66919" w:rsidP="00B34D2B">
      <w:pPr>
        <w:spacing w:line="240" w:lineRule="auto"/>
        <w:contextualSpacing/>
        <w:outlineLvl w:val="0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lastRenderedPageBreak/>
        <w:t xml:space="preserve">5.2. </w:t>
      </w:r>
      <w:r w:rsidR="008D223F" w:rsidRPr="005E3B76">
        <w:rPr>
          <w:rFonts w:cs="Arial"/>
          <w:b/>
          <w:sz w:val="20"/>
          <w:szCs w:val="20"/>
        </w:rPr>
        <w:t>P</w:t>
      </w:r>
      <w:r w:rsidR="00A962B4">
        <w:rPr>
          <w:rFonts w:cs="Arial"/>
          <w:b/>
          <w:sz w:val="20"/>
          <w:szCs w:val="20"/>
        </w:rPr>
        <w:t>rostovoljno pokojninsko zavarovanje</w:t>
      </w:r>
      <w:r w:rsidR="008D223F" w:rsidRPr="005E3B76">
        <w:rPr>
          <w:rFonts w:cs="Arial"/>
          <w:b/>
          <w:sz w:val="20"/>
          <w:szCs w:val="20"/>
        </w:rPr>
        <w:t xml:space="preserve"> (PPZ)</w:t>
      </w:r>
    </w:p>
    <w:p w14:paraId="47FE5D6D" w14:textId="77777777" w:rsidR="00B12C84" w:rsidRPr="005E3B76" w:rsidRDefault="00B12C84" w:rsidP="00B34D2B">
      <w:pPr>
        <w:spacing w:line="240" w:lineRule="auto"/>
        <w:contextualSpacing/>
        <w:outlineLvl w:val="0"/>
        <w:rPr>
          <w:rFonts w:cs="Arial"/>
          <w:b/>
          <w:sz w:val="20"/>
          <w:szCs w:val="20"/>
        </w:rPr>
      </w:pPr>
    </w:p>
    <w:p w14:paraId="045304BB" w14:textId="79D0EC0E" w:rsidR="008D223F" w:rsidRPr="003960AA" w:rsidRDefault="008D223F" w:rsidP="008736CE">
      <w:pPr>
        <w:spacing w:line="240" w:lineRule="auto"/>
        <w:contextualSpacing/>
        <w:jc w:val="both"/>
        <w:rPr>
          <w:rFonts w:cs="Arial"/>
          <w:sz w:val="20"/>
          <w:szCs w:val="20"/>
        </w:rPr>
      </w:pPr>
      <w:r w:rsidRPr="003960AA">
        <w:rPr>
          <w:rFonts w:cs="Arial"/>
          <w:sz w:val="20"/>
          <w:szCs w:val="20"/>
        </w:rPr>
        <w:t xml:space="preserve">V okviru </w:t>
      </w:r>
      <w:r w:rsidR="00C368E9" w:rsidRPr="003960AA">
        <w:rPr>
          <w:rFonts w:cs="Arial"/>
          <w:sz w:val="20"/>
          <w:szCs w:val="20"/>
        </w:rPr>
        <w:t>PPZ</w:t>
      </w:r>
      <w:r w:rsidRPr="003960AA">
        <w:rPr>
          <w:rFonts w:cs="Arial"/>
          <w:sz w:val="20"/>
          <w:szCs w:val="20"/>
        </w:rPr>
        <w:t xml:space="preserve"> se izvajata dve naložbeni politiki PPZ-strateški in PPZ-dinamični. V obeh p</w:t>
      </w:r>
      <w:r w:rsidR="00F746F9" w:rsidRPr="003960AA">
        <w:rPr>
          <w:rFonts w:cs="Arial"/>
          <w:sz w:val="20"/>
          <w:szCs w:val="20"/>
        </w:rPr>
        <w:t>olitikah</w:t>
      </w:r>
      <w:r w:rsidRPr="003960AA">
        <w:rPr>
          <w:rFonts w:cs="Arial"/>
          <w:sz w:val="20"/>
          <w:szCs w:val="20"/>
        </w:rPr>
        <w:t xml:space="preserve"> SOP naložbe aktivno upravlja</w:t>
      </w:r>
      <w:r w:rsidR="00C55EA3" w:rsidRPr="003960AA">
        <w:rPr>
          <w:rFonts w:cs="Arial"/>
          <w:sz w:val="20"/>
          <w:szCs w:val="20"/>
        </w:rPr>
        <w:t>.</w:t>
      </w:r>
      <w:r w:rsidRPr="003960AA">
        <w:rPr>
          <w:rFonts w:cs="Arial"/>
          <w:sz w:val="20"/>
          <w:szCs w:val="20"/>
        </w:rPr>
        <w:t xml:space="preserve"> </w:t>
      </w:r>
      <w:r w:rsidR="00C55EA3" w:rsidRPr="003960AA">
        <w:rPr>
          <w:rFonts w:cs="Arial"/>
          <w:sz w:val="20"/>
          <w:szCs w:val="20"/>
        </w:rPr>
        <w:t>T</w:t>
      </w:r>
      <w:r w:rsidRPr="003960AA">
        <w:rPr>
          <w:rFonts w:cs="Arial"/>
          <w:sz w:val="20"/>
          <w:szCs w:val="20"/>
        </w:rPr>
        <w:t>o pomeni, da dnevno kupuje in prodaja vrednostne papirje za katere oceni, da so primerni</w:t>
      </w:r>
      <w:r w:rsidR="00C55EA3" w:rsidRPr="003960AA">
        <w:rPr>
          <w:rFonts w:cs="Arial"/>
          <w:sz w:val="20"/>
          <w:szCs w:val="20"/>
        </w:rPr>
        <w:t xml:space="preserve"> glede na določeno investicijsko politiko</w:t>
      </w:r>
      <w:r w:rsidRPr="003960AA">
        <w:rPr>
          <w:rFonts w:cs="Arial"/>
          <w:sz w:val="20"/>
          <w:szCs w:val="20"/>
        </w:rPr>
        <w:t>. Pri strateški naložbeni politiki so naložbe razpršene, vključenih pa je največ do 30% delniških naložb. Pri dinamični naložbeni politiki omejitev glede naložb praktično ni in naložbe ni</w:t>
      </w:r>
      <w:r w:rsidR="00214437" w:rsidRPr="003960AA">
        <w:rPr>
          <w:rFonts w:cs="Arial"/>
          <w:sz w:val="20"/>
          <w:szCs w:val="20"/>
        </w:rPr>
        <w:t xml:space="preserve">so razpršene. To pomeni, da je </w:t>
      </w:r>
      <w:r w:rsidRPr="003960AA">
        <w:rPr>
          <w:rFonts w:cs="Arial"/>
          <w:sz w:val="20"/>
          <w:szCs w:val="20"/>
        </w:rPr>
        <w:t xml:space="preserve">v posamezno naložbo lahko naloženo tudi do npr. 50% portfelja, kar </w:t>
      </w:r>
      <w:r w:rsidR="00C55EA3" w:rsidRPr="003960AA">
        <w:rPr>
          <w:rFonts w:cs="Arial"/>
          <w:sz w:val="20"/>
          <w:szCs w:val="20"/>
        </w:rPr>
        <w:t>pomeni tudi večje naložbeno tveganje</w:t>
      </w:r>
      <w:r w:rsidRPr="003960AA">
        <w:rPr>
          <w:rFonts w:cs="Arial"/>
          <w:sz w:val="20"/>
          <w:szCs w:val="20"/>
        </w:rPr>
        <w:t xml:space="preserve">. Donos pri strateški naložbeni politiki je znašal </w:t>
      </w:r>
      <w:r w:rsidR="00ED51B9" w:rsidRPr="003960AA">
        <w:rPr>
          <w:rFonts w:cs="Arial"/>
          <w:sz w:val="20"/>
          <w:szCs w:val="20"/>
        </w:rPr>
        <w:t>2,67</w:t>
      </w:r>
      <w:r w:rsidRPr="003960AA">
        <w:rPr>
          <w:rFonts w:cs="Arial"/>
          <w:sz w:val="20"/>
          <w:szCs w:val="20"/>
        </w:rPr>
        <w:t>%</w:t>
      </w:r>
      <w:r w:rsidR="00190BDC" w:rsidRPr="003960AA">
        <w:rPr>
          <w:rFonts w:cs="Arial"/>
          <w:sz w:val="20"/>
          <w:szCs w:val="20"/>
        </w:rPr>
        <w:t>,</w:t>
      </w:r>
      <w:r w:rsidRPr="003960AA">
        <w:rPr>
          <w:rFonts w:cs="Arial"/>
          <w:sz w:val="20"/>
          <w:szCs w:val="20"/>
        </w:rPr>
        <w:t xml:space="preserve"> pri dinamični pa</w:t>
      </w:r>
      <w:r w:rsidR="0096311D" w:rsidRPr="003960AA">
        <w:rPr>
          <w:rFonts w:cs="Arial"/>
          <w:sz w:val="20"/>
          <w:szCs w:val="20"/>
        </w:rPr>
        <w:t xml:space="preserve"> </w:t>
      </w:r>
      <w:r w:rsidR="00ED51B9" w:rsidRPr="003960AA">
        <w:rPr>
          <w:rFonts w:cs="Arial"/>
          <w:sz w:val="20"/>
          <w:szCs w:val="20"/>
        </w:rPr>
        <w:t>5</w:t>
      </w:r>
      <w:r w:rsidR="00A43D30" w:rsidRPr="003960AA">
        <w:rPr>
          <w:rFonts w:cs="Arial"/>
          <w:sz w:val="20"/>
          <w:szCs w:val="20"/>
        </w:rPr>
        <w:t>,</w:t>
      </w:r>
      <w:r w:rsidR="00ED51B9" w:rsidRPr="003960AA">
        <w:rPr>
          <w:rFonts w:cs="Arial"/>
          <w:sz w:val="20"/>
          <w:szCs w:val="20"/>
        </w:rPr>
        <w:t>89</w:t>
      </w:r>
      <w:r w:rsidRPr="003960AA">
        <w:rPr>
          <w:rFonts w:cs="Arial"/>
          <w:sz w:val="20"/>
          <w:szCs w:val="20"/>
        </w:rPr>
        <w:t>%.</w:t>
      </w:r>
    </w:p>
    <w:p w14:paraId="7FE91D25" w14:textId="77777777" w:rsidR="008D223F" w:rsidRPr="003960AA" w:rsidRDefault="008D223F" w:rsidP="00B34D2B">
      <w:pPr>
        <w:spacing w:line="240" w:lineRule="auto"/>
        <w:contextualSpacing/>
        <w:rPr>
          <w:rFonts w:cs="Arial"/>
          <w:sz w:val="20"/>
          <w:szCs w:val="20"/>
        </w:rPr>
      </w:pPr>
    </w:p>
    <w:p w14:paraId="2D1022E2" w14:textId="6A5E7BFB" w:rsidR="008D223F" w:rsidRPr="003960AA" w:rsidRDefault="008D223F" w:rsidP="00B34D2B">
      <w:pPr>
        <w:spacing w:line="240" w:lineRule="auto"/>
        <w:contextualSpacing/>
        <w:rPr>
          <w:rFonts w:cs="Arial"/>
          <w:sz w:val="20"/>
          <w:szCs w:val="20"/>
        </w:rPr>
      </w:pPr>
      <w:r w:rsidRPr="003960AA">
        <w:rPr>
          <w:rFonts w:cs="Arial"/>
          <w:sz w:val="20"/>
          <w:szCs w:val="20"/>
        </w:rPr>
        <w:t xml:space="preserve">Člani lahko </w:t>
      </w:r>
      <w:r w:rsidR="002878D0" w:rsidRPr="003960AA">
        <w:rPr>
          <w:rFonts w:cs="Arial"/>
          <w:sz w:val="20"/>
          <w:szCs w:val="20"/>
        </w:rPr>
        <w:t xml:space="preserve">izbirajo </w:t>
      </w:r>
      <w:r w:rsidRPr="003960AA">
        <w:rPr>
          <w:rFonts w:cs="Arial"/>
          <w:sz w:val="20"/>
          <w:szCs w:val="20"/>
        </w:rPr>
        <w:t>med obema naložbenima politikama</w:t>
      </w:r>
      <w:r w:rsidR="00C55EA3" w:rsidRPr="003960AA">
        <w:rPr>
          <w:rFonts w:cs="Arial"/>
          <w:sz w:val="20"/>
          <w:szCs w:val="20"/>
        </w:rPr>
        <w:t>.</w:t>
      </w:r>
      <w:r w:rsidRPr="003960AA">
        <w:rPr>
          <w:rFonts w:cs="Arial"/>
          <w:sz w:val="20"/>
          <w:szCs w:val="20"/>
        </w:rPr>
        <w:t xml:space="preserve"> </w:t>
      </w:r>
      <w:r w:rsidR="00C55EA3" w:rsidRPr="003960AA">
        <w:rPr>
          <w:rFonts w:cs="Arial"/>
          <w:sz w:val="20"/>
          <w:szCs w:val="20"/>
        </w:rPr>
        <w:t>Zahtevek za spremembo se odda</w:t>
      </w:r>
      <w:r w:rsidRPr="003960AA">
        <w:rPr>
          <w:rFonts w:cs="Arial"/>
          <w:sz w:val="20"/>
          <w:szCs w:val="20"/>
        </w:rPr>
        <w:t xml:space="preserve"> v pisni obliki.</w:t>
      </w:r>
    </w:p>
    <w:p w14:paraId="5F16F71D" w14:textId="77777777" w:rsidR="001F7F99" w:rsidRPr="003960AA" w:rsidRDefault="001F7F99" w:rsidP="00B34D2B">
      <w:pPr>
        <w:spacing w:line="240" w:lineRule="auto"/>
        <w:contextualSpacing/>
        <w:rPr>
          <w:rFonts w:cs="Arial"/>
          <w:sz w:val="20"/>
          <w:szCs w:val="20"/>
        </w:rPr>
      </w:pPr>
    </w:p>
    <w:p w14:paraId="0F130A86" w14:textId="1B85FE04" w:rsidR="008D223F" w:rsidRPr="003960AA" w:rsidRDefault="00F66919" w:rsidP="00B34D2B">
      <w:pPr>
        <w:spacing w:line="240" w:lineRule="auto"/>
        <w:contextualSpacing/>
        <w:outlineLvl w:val="0"/>
        <w:rPr>
          <w:rFonts w:cs="Arial"/>
          <w:b/>
          <w:sz w:val="20"/>
          <w:szCs w:val="20"/>
        </w:rPr>
      </w:pPr>
      <w:r w:rsidRPr="003960AA">
        <w:rPr>
          <w:rFonts w:cs="Arial"/>
          <w:b/>
          <w:sz w:val="20"/>
          <w:szCs w:val="20"/>
        </w:rPr>
        <w:t xml:space="preserve">5.3. </w:t>
      </w:r>
      <w:r w:rsidR="008D223F" w:rsidRPr="003960AA">
        <w:rPr>
          <w:rFonts w:cs="Arial"/>
          <w:b/>
          <w:sz w:val="20"/>
          <w:szCs w:val="20"/>
        </w:rPr>
        <w:t>I</w:t>
      </w:r>
      <w:r w:rsidR="00A962B4" w:rsidRPr="003960AA">
        <w:rPr>
          <w:rFonts w:cs="Arial"/>
          <w:b/>
          <w:sz w:val="20"/>
          <w:szCs w:val="20"/>
        </w:rPr>
        <w:t>nvesticijsko pokojninsko zavarovanje</w:t>
      </w:r>
      <w:r w:rsidR="008D223F" w:rsidRPr="003960AA">
        <w:rPr>
          <w:rFonts w:cs="Arial"/>
          <w:b/>
          <w:sz w:val="20"/>
          <w:szCs w:val="20"/>
        </w:rPr>
        <w:t xml:space="preserve"> (IPZ)</w:t>
      </w:r>
    </w:p>
    <w:p w14:paraId="68877B3D" w14:textId="77777777" w:rsidR="00B12C84" w:rsidRPr="003960AA" w:rsidRDefault="00B12C84" w:rsidP="00B34D2B">
      <w:pPr>
        <w:spacing w:line="240" w:lineRule="auto"/>
        <w:contextualSpacing/>
        <w:outlineLvl w:val="0"/>
        <w:rPr>
          <w:rFonts w:cs="Arial"/>
          <w:b/>
          <w:sz w:val="20"/>
          <w:szCs w:val="20"/>
        </w:rPr>
      </w:pPr>
    </w:p>
    <w:p w14:paraId="308FB4B8" w14:textId="6E469243" w:rsidR="008D223F" w:rsidRPr="003960AA" w:rsidRDefault="008D223F" w:rsidP="008736CE">
      <w:pPr>
        <w:spacing w:line="240" w:lineRule="auto"/>
        <w:contextualSpacing/>
        <w:jc w:val="both"/>
        <w:rPr>
          <w:rFonts w:cs="Arial"/>
          <w:sz w:val="20"/>
          <w:szCs w:val="20"/>
        </w:rPr>
      </w:pPr>
      <w:r w:rsidRPr="003960AA">
        <w:rPr>
          <w:rFonts w:cs="Arial"/>
          <w:sz w:val="20"/>
          <w:szCs w:val="20"/>
        </w:rPr>
        <w:t xml:space="preserve">Upravljanje naložb IPZ je pretežno pasivno. To pomeni, da portfelj sestavljajo naložbe v tako imenovane ETF-e. ETF-i so </w:t>
      </w:r>
      <w:r w:rsidR="00C55EA3" w:rsidRPr="003960AA">
        <w:rPr>
          <w:rFonts w:cs="Arial"/>
          <w:sz w:val="20"/>
          <w:szCs w:val="20"/>
        </w:rPr>
        <w:t xml:space="preserve">investicijski </w:t>
      </w:r>
      <w:r w:rsidRPr="003960AA">
        <w:rPr>
          <w:rFonts w:cs="Arial"/>
          <w:sz w:val="20"/>
          <w:szCs w:val="20"/>
        </w:rPr>
        <w:t xml:space="preserve">skladi, ki so pasivno upravljani, naložbe pa so sestavljene tako, kot je sestavljen referenčni indeks. Npr. ETF nemškega indeksa DAX je sestavljen iz enakih naložb kot sam indeks in mu z gibanjem tečaja praktično v celoti sledi. Praviloma imajo ETF-i nižje stroške kot aktivno upravljani vzajemni skladi. </w:t>
      </w:r>
      <w:r w:rsidR="00C55EA3" w:rsidRPr="003960AA">
        <w:rPr>
          <w:rFonts w:cs="Arial"/>
          <w:sz w:val="20"/>
          <w:szCs w:val="20"/>
        </w:rPr>
        <w:t xml:space="preserve">IPZ pospešeni </w:t>
      </w:r>
      <w:r w:rsidRPr="003960AA">
        <w:rPr>
          <w:rFonts w:cs="Arial"/>
          <w:sz w:val="20"/>
          <w:szCs w:val="20"/>
        </w:rPr>
        <w:t xml:space="preserve">vključuje bolj tvegane in praviloma donosnejše ETF-e, </w:t>
      </w:r>
      <w:r w:rsidR="00C55EA3" w:rsidRPr="003960AA">
        <w:rPr>
          <w:rFonts w:cs="Arial"/>
          <w:sz w:val="20"/>
          <w:szCs w:val="20"/>
        </w:rPr>
        <w:t xml:space="preserve">IPZ zmerni pa </w:t>
      </w:r>
      <w:r w:rsidRPr="003960AA">
        <w:rPr>
          <w:rFonts w:cs="Arial"/>
          <w:sz w:val="20"/>
          <w:szCs w:val="20"/>
        </w:rPr>
        <w:t>manj</w:t>
      </w:r>
      <w:r w:rsidR="00C55EA3" w:rsidRPr="003960AA">
        <w:rPr>
          <w:rFonts w:cs="Arial"/>
          <w:sz w:val="20"/>
          <w:szCs w:val="20"/>
        </w:rPr>
        <w:t xml:space="preserve"> tvegane in posledično manj donosne</w:t>
      </w:r>
      <w:r w:rsidRPr="003960AA">
        <w:rPr>
          <w:rFonts w:cs="Arial"/>
          <w:sz w:val="20"/>
          <w:szCs w:val="20"/>
        </w:rPr>
        <w:t>. SOP vsakih 6 mesecev pregleda</w:t>
      </w:r>
      <w:r w:rsidR="00B86FA9" w:rsidRPr="003960AA">
        <w:rPr>
          <w:rFonts w:cs="Arial"/>
          <w:sz w:val="20"/>
          <w:szCs w:val="20"/>
        </w:rPr>
        <w:t xml:space="preserve"> </w:t>
      </w:r>
      <w:r w:rsidRPr="003960AA">
        <w:rPr>
          <w:rFonts w:cs="Arial"/>
          <w:sz w:val="20"/>
          <w:szCs w:val="20"/>
        </w:rPr>
        <w:t>stanje na trgih in sredstva naložil v 2 do 4 ETF-e za vsako naložbeno politiko. Ocenjujemo, da bomo tako dosegli boljše razmerje med donosom in tveganjem. Na dolgi rok bi morale biti te naložbene politike bolj donosne</w:t>
      </w:r>
      <w:r w:rsidR="00C55EA3" w:rsidRPr="003960AA">
        <w:rPr>
          <w:rFonts w:cs="Arial"/>
          <w:sz w:val="20"/>
          <w:szCs w:val="20"/>
        </w:rPr>
        <w:t>.</w:t>
      </w:r>
      <w:r w:rsidRPr="003960AA">
        <w:rPr>
          <w:rFonts w:cs="Arial"/>
          <w:sz w:val="20"/>
          <w:szCs w:val="20"/>
        </w:rPr>
        <w:t xml:space="preserve"> </w:t>
      </w:r>
      <w:r w:rsidR="00C55EA3" w:rsidRPr="003960AA">
        <w:rPr>
          <w:rFonts w:cs="Arial"/>
          <w:sz w:val="20"/>
          <w:szCs w:val="20"/>
        </w:rPr>
        <w:t>V</w:t>
      </w:r>
      <w:r w:rsidRPr="003960AA">
        <w:rPr>
          <w:rFonts w:cs="Arial"/>
          <w:sz w:val="20"/>
          <w:szCs w:val="20"/>
        </w:rPr>
        <w:t xml:space="preserve"> časih kriz pa je za pričakovati večja nihanja vrednosti. </w:t>
      </w:r>
      <w:r w:rsidR="002D2F08" w:rsidRPr="003960AA">
        <w:rPr>
          <w:rFonts w:cs="Arial"/>
          <w:sz w:val="20"/>
          <w:szCs w:val="20"/>
        </w:rPr>
        <w:t>Donos</w:t>
      </w:r>
      <w:r w:rsidR="00C55EA3" w:rsidRPr="003960AA">
        <w:rPr>
          <w:rFonts w:cs="Arial"/>
          <w:sz w:val="20"/>
          <w:szCs w:val="20"/>
        </w:rPr>
        <w:t xml:space="preserve">i so objavljeni </w:t>
      </w:r>
      <w:r w:rsidR="002D2F08" w:rsidRPr="003960AA">
        <w:rPr>
          <w:rFonts w:cs="Arial"/>
          <w:sz w:val="20"/>
          <w:szCs w:val="20"/>
        </w:rPr>
        <w:t>na spletni strani SOP.</w:t>
      </w:r>
    </w:p>
    <w:p w14:paraId="1414BD5B" w14:textId="77777777" w:rsidR="008D223F" w:rsidRPr="003960AA" w:rsidRDefault="008D223F" w:rsidP="007E1A56">
      <w:pPr>
        <w:spacing w:before="10" w:line="240" w:lineRule="auto"/>
        <w:contextualSpacing/>
        <w:rPr>
          <w:rFonts w:cs="Arial"/>
          <w:sz w:val="20"/>
          <w:szCs w:val="20"/>
        </w:rPr>
      </w:pPr>
    </w:p>
    <w:p w14:paraId="7AB0FC9C" w14:textId="65E14EE8" w:rsidR="008D223F" w:rsidRPr="003960AA" w:rsidRDefault="008D223F" w:rsidP="008736CE">
      <w:pPr>
        <w:spacing w:line="240" w:lineRule="auto"/>
        <w:contextualSpacing/>
        <w:jc w:val="both"/>
        <w:rPr>
          <w:rFonts w:cs="Arial"/>
          <w:sz w:val="20"/>
          <w:szCs w:val="20"/>
        </w:rPr>
      </w:pPr>
      <w:r w:rsidRPr="003960AA">
        <w:rPr>
          <w:rFonts w:cs="Arial"/>
          <w:sz w:val="20"/>
          <w:szCs w:val="20"/>
        </w:rPr>
        <w:t xml:space="preserve">Donos </w:t>
      </w:r>
      <w:r w:rsidR="00D17522" w:rsidRPr="003960AA">
        <w:rPr>
          <w:rFonts w:cs="Arial"/>
          <w:sz w:val="20"/>
          <w:szCs w:val="20"/>
        </w:rPr>
        <w:t>v</w:t>
      </w:r>
      <w:r w:rsidRPr="003960AA">
        <w:rPr>
          <w:rFonts w:cs="Arial"/>
          <w:sz w:val="20"/>
          <w:szCs w:val="20"/>
        </w:rPr>
        <w:t xml:space="preserve"> let</w:t>
      </w:r>
      <w:r w:rsidR="00D17522" w:rsidRPr="003960AA">
        <w:rPr>
          <w:rFonts w:cs="Arial"/>
          <w:sz w:val="20"/>
          <w:szCs w:val="20"/>
        </w:rPr>
        <w:t>u</w:t>
      </w:r>
      <w:r w:rsidRPr="003960AA">
        <w:rPr>
          <w:rFonts w:cs="Arial"/>
          <w:sz w:val="20"/>
          <w:szCs w:val="20"/>
        </w:rPr>
        <w:t xml:space="preserve"> 20</w:t>
      </w:r>
      <w:r w:rsidR="00010D87" w:rsidRPr="003960AA">
        <w:rPr>
          <w:rFonts w:cs="Arial"/>
          <w:sz w:val="20"/>
          <w:szCs w:val="20"/>
        </w:rPr>
        <w:t>20</w:t>
      </w:r>
      <w:r w:rsidRPr="003960AA">
        <w:rPr>
          <w:rFonts w:cs="Arial"/>
          <w:sz w:val="20"/>
          <w:szCs w:val="20"/>
        </w:rPr>
        <w:t xml:space="preserve"> je na IPZ zmerni znašal </w:t>
      </w:r>
      <w:r w:rsidR="00010D87" w:rsidRPr="003960AA">
        <w:rPr>
          <w:rFonts w:cs="Arial"/>
          <w:sz w:val="20"/>
          <w:szCs w:val="20"/>
        </w:rPr>
        <w:t>0,34%</w:t>
      </w:r>
      <w:r w:rsidR="00A43D30" w:rsidRPr="003960AA">
        <w:rPr>
          <w:rFonts w:cs="Arial"/>
          <w:sz w:val="20"/>
          <w:szCs w:val="20"/>
        </w:rPr>
        <w:t xml:space="preserve"> </w:t>
      </w:r>
      <w:r w:rsidRPr="003960AA">
        <w:rPr>
          <w:rFonts w:cs="Arial"/>
          <w:sz w:val="20"/>
          <w:szCs w:val="20"/>
        </w:rPr>
        <w:t xml:space="preserve">in na IPZ pospešeni </w:t>
      </w:r>
      <w:r w:rsidR="00010D87" w:rsidRPr="003960AA">
        <w:rPr>
          <w:rFonts w:cs="Arial"/>
          <w:sz w:val="20"/>
          <w:szCs w:val="20"/>
        </w:rPr>
        <w:t>-0,68%</w:t>
      </w:r>
      <w:r w:rsidRPr="003960AA">
        <w:rPr>
          <w:rFonts w:cs="Arial"/>
          <w:sz w:val="20"/>
          <w:szCs w:val="20"/>
        </w:rPr>
        <w:t>. Vsi</w:t>
      </w:r>
      <w:r w:rsidR="0028089D" w:rsidRPr="003960AA">
        <w:rPr>
          <w:rFonts w:cs="Arial"/>
          <w:sz w:val="20"/>
          <w:szCs w:val="20"/>
        </w:rPr>
        <w:t xml:space="preserve"> člani</w:t>
      </w:r>
      <w:r w:rsidRPr="003960AA">
        <w:rPr>
          <w:rFonts w:cs="Arial"/>
          <w:sz w:val="20"/>
          <w:szCs w:val="20"/>
        </w:rPr>
        <w:t>, ki imajo še stare naložbene politike vezane na vzajemne sklade</w:t>
      </w:r>
      <w:r w:rsidR="00AE7D1A" w:rsidRPr="003960AA">
        <w:rPr>
          <w:rFonts w:cs="Arial"/>
          <w:sz w:val="20"/>
          <w:szCs w:val="20"/>
        </w:rPr>
        <w:t>,</w:t>
      </w:r>
      <w:r w:rsidRPr="003960AA">
        <w:rPr>
          <w:rFonts w:cs="Arial"/>
          <w:sz w:val="20"/>
          <w:szCs w:val="20"/>
        </w:rPr>
        <w:t xml:space="preserve"> lahko zamenjajo naložbeno politiko.</w:t>
      </w:r>
    </w:p>
    <w:p w14:paraId="72D7E17B" w14:textId="77777777" w:rsidR="008D223F" w:rsidRPr="003960AA" w:rsidRDefault="008D223F" w:rsidP="00B34D2B">
      <w:pPr>
        <w:spacing w:line="240" w:lineRule="auto"/>
        <w:contextualSpacing/>
        <w:outlineLvl w:val="0"/>
        <w:rPr>
          <w:rFonts w:cs="Arial"/>
          <w:b/>
          <w:sz w:val="20"/>
          <w:szCs w:val="20"/>
        </w:rPr>
      </w:pPr>
    </w:p>
    <w:p w14:paraId="5EF232C7" w14:textId="7E6E9DDD" w:rsidR="008D223F" w:rsidRPr="003960AA" w:rsidRDefault="00F66919" w:rsidP="00B34D2B">
      <w:pPr>
        <w:spacing w:line="240" w:lineRule="auto"/>
        <w:contextualSpacing/>
        <w:outlineLvl w:val="0"/>
        <w:rPr>
          <w:rFonts w:cs="Arial"/>
          <w:b/>
          <w:sz w:val="20"/>
          <w:szCs w:val="20"/>
        </w:rPr>
      </w:pPr>
      <w:r w:rsidRPr="003960AA">
        <w:rPr>
          <w:rFonts w:cs="Arial"/>
          <w:b/>
          <w:sz w:val="20"/>
          <w:szCs w:val="20"/>
        </w:rPr>
        <w:t xml:space="preserve">5.4. </w:t>
      </w:r>
      <w:r w:rsidR="008D223F" w:rsidRPr="003960AA">
        <w:rPr>
          <w:rFonts w:cs="Arial"/>
          <w:b/>
          <w:sz w:val="20"/>
          <w:szCs w:val="20"/>
        </w:rPr>
        <w:t>P</w:t>
      </w:r>
      <w:r w:rsidR="00A962B4" w:rsidRPr="003960AA">
        <w:rPr>
          <w:rFonts w:cs="Arial"/>
          <w:b/>
          <w:sz w:val="20"/>
          <w:szCs w:val="20"/>
        </w:rPr>
        <w:t>oklicno pokojninsko zavarovanje</w:t>
      </w:r>
      <w:r w:rsidR="008D223F" w:rsidRPr="003960AA">
        <w:rPr>
          <w:rFonts w:cs="Arial"/>
          <w:b/>
          <w:sz w:val="20"/>
          <w:szCs w:val="20"/>
        </w:rPr>
        <w:t xml:space="preserve"> (VZA)</w:t>
      </w:r>
    </w:p>
    <w:p w14:paraId="0C92E951" w14:textId="77777777" w:rsidR="001D566A" w:rsidRPr="003960AA" w:rsidRDefault="001D566A" w:rsidP="00B34D2B">
      <w:pPr>
        <w:spacing w:line="240" w:lineRule="auto"/>
        <w:contextualSpacing/>
        <w:outlineLvl w:val="0"/>
        <w:rPr>
          <w:rFonts w:cs="Arial"/>
          <w:b/>
          <w:sz w:val="20"/>
          <w:szCs w:val="20"/>
        </w:rPr>
      </w:pPr>
    </w:p>
    <w:p w14:paraId="7B0D86EA" w14:textId="0E63BB13" w:rsidR="00B86FA9" w:rsidRPr="003960AA" w:rsidRDefault="00A25509" w:rsidP="008736CE">
      <w:pPr>
        <w:spacing w:line="240" w:lineRule="auto"/>
        <w:contextualSpacing/>
        <w:jc w:val="both"/>
        <w:rPr>
          <w:rFonts w:cs="Arial"/>
          <w:sz w:val="20"/>
          <w:szCs w:val="20"/>
        </w:rPr>
      </w:pPr>
      <w:r w:rsidRPr="003960AA">
        <w:rPr>
          <w:rFonts w:cs="Arial"/>
          <w:sz w:val="20"/>
          <w:szCs w:val="20"/>
        </w:rPr>
        <w:lastRenderedPageBreak/>
        <w:t>VZA je po Pravilih Poklicnega pokojninskega zavarovanja dokladno zavarovanje</w:t>
      </w:r>
      <w:r w:rsidR="005E712D" w:rsidRPr="003960AA">
        <w:rPr>
          <w:rFonts w:cs="Arial"/>
          <w:sz w:val="20"/>
          <w:szCs w:val="20"/>
        </w:rPr>
        <w:t>.</w:t>
      </w:r>
      <w:r w:rsidRPr="003960AA">
        <w:rPr>
          <w:rFonts w:cs="Arial"/>
          <w:sz w:val="20"/>
          <w:szCs w:val="20"/>
        </w:rPr>
        <w:t xml:space="preserve"> </w:t>
      </w:r>
      <w:r w:rsidR="005E712D" w:rsidRPr="003960AA">
        <w:rPr>
          <w:rFonts w:cs="Arial"/>
          <w:sz w:val="20"/>
          <w:szCs w:val="20"/>
        </w:rPr>
        <w:t>T</w:t>
      </w:r>
      <w:r w:rsidRPr="003960AA">
        <w:rPr>
          <w:rFonts w:cs="Arial"/>
          <w:sz w:val="20"/>
          <w:szCs w:val="20"/>
        </w:rPr>
        <w:t xml:space="preserve">o pomeni, da se pokojnine izplačajo iz sredstev rezervacij </w:t>
      </w:r>
      <w:r w:rsidR="00AE7D1A" w:rsidRPr="003960AA">
        <w:rPr>
          <w:rFonts w:cs="Arial"/>
          <w:sz w:val="20"/>
          <w:szCs w:val="20"/>
        </w:rPr>
        <w:t>i</w:t>
      </w:r>
      <w:r w:rsidRPr="003960AA">
        <w:rPr>
          <w:rFonts w:cs="Arial"/>
          <w:sz w:val="20"/>
          <w:szCs w:val="20"/>
        </w:rPr>
        <w:t xml:space="preserve">n iz plačanih premij. Ker se VZA zavarovanje </w:t>
      </w:r>
      <w:r w:rsidR="004058FD" w:rsidRPr="003960AA">
        <w:rPr>
          <w:rFonts w:cs="Arial"/>
          <w:sz w:val="20"/>
          <w:szCs w:val="20"/>
        </w:rPr>
        <w:t xml:space="preserve">ne </w:t>
      </w:r>
      <w:r w:rsidRPr="003960AA">
        <w:rPr>
          <w:rFonts w:cs="Arial"/>
          <w:sz w:val="20"/>
          <w:szCs w:val="20"/>
        </w:rPr>
        <w:t xml:space="preserve">trži </w:t>
      </w:r>
      <w:r w:rsidR="004058FD" w:rsidRPr="003960AA">
        <w:rPr>
          <w:rFonts w:cs="Arial"/>
          <w:sz w:val="20"/>
          <w:szCs w:val="20"/>
        </w:rPr>
        <w:t xml:space="preserve">več </w:t>
      </w:r>
      <w:r w:rsidRPr="003960AA">
        <w:rPr>
          <w:rFonts w:cs="Arial"/>
          <w:sz w:val="20"/>
          <w:szCs w:val="20"/>
        </w:rPr>
        <w:t>in premij</w:t>
      </w:r>
      <w:r w:rsidR="00AE7D1A" w:rsidRPr="003960AA">
        <w:rPr>
          <w:rFonts w:cs="Arial"/>
          <w:sz w:val="20"/>
          <w:szCs w:val="20"/>
        </w:rPr>
        <w:t>e</w:t>
      </w:r>
      <w:r w:rsidRPr="003960AA">
        <w:rPr>
          <w:rFonts w:cs="Arial"/>
          <w:sz w:val="20"/>
          <w:szCs w:val="20"/>
        </w:rPr>
        <w:t xml:space="preserve"> padajo, SOP oblikuje re</w:t>
      </w:r>
      <w:r w:rsidR="00643463" w:rsidRPr="003960AA">
        <w:rPr>
          <w:rFonts w:cs="Arial"/>
          <w:sz w:val="20"/>
          <w:szCs w:val="20"/>
        </w:rPr>
        <w:t xml:space="preserve">zervacije iz katerih </w:t>
      </w:r>
      <w:r w:rsidRPr="003960AA">
        <w:rPr>
          <w:rFonts w:cs="Arial"/>
          <w:sz w:val="20"/>
          <w:szCs w:val="20"/>
        </w:rPr>
        <w:t xml:space="preserve">se izplača večji del pokojnin. Rezervacije se izračuna v skladu z aktuarsko matematiko. </w:t>
      </w:r>
      <w:r w:rsidR="00B86FA9" w:rsidRPr="003960AA">
        <w:rPr>
          <w:rFonts w:cs="Arial"/>
          <w:sz w:val="20"/>
          <w:szCs w:val="20"/>
        </w:rPr>
        <w:t>V izračun</w:t>
      </w:r>
      <w:r w:rsidR="00FE7DF7" w:rsidRPr="003960AA">
        <w:rPr>
          <w:rFonts w:cs="Arial"/>
          <w:sz w:val="20"/>
          <w:szCs w:val="20"/>
        </w:rPr>
        <w:t>u</w:t>
      </w:r>
      <w:r w:rsidR="00B86FA9" w:rsidRPr="003960AA">
        <w:rPr>
          <w:rFonts w:cs="Arial"/>
          <w:sz w:val="20"/>
          <w:szCs w:val="20"/>
        </w:rPr>
        <w:t xml:space="preserve"> je potrebno zajeti tudi tržna tveganja, ki nastanejo zaradi nihanja tečajev na finančnih trgih.</w:t>
      </w:r>
      <w:r w:rsidR="00BB0401" w:rsidRPr="003960AA">
        <w:rPr>
          <w:rFonts w:cs="Arial"/>
          <w:sz w:val="20"/>
          <w:szCs w:val="20"/>
        </w:rPr>
        <w:t xml:space="preserve"> </w:t>
      </w:r>
      <w:r w:rsidR="00B86FA9" w:rsidRPr="003960AA">
        <w:rPr>
          <w:rFonts w:cs="Arial"/>
          <w:sz w:val="20"/>
          <w:szCs w:val="20"/>
        </w:rPr>
        <w:t xml:space="preserve">V kolikor ima kritni sklad presežek sredstev nad izračunanimi </w:t>
      </w:r>
      <w:r w:rsidR="0092631F" w:rsidRPr="003960AA">
        <w:rPr>
          <w:rFonts w:cs="Arial"/>
          <w:sz w:val="20"/>
          <w:szCs w:val="20"/>
        </w:rPr>
        <w:t>obveznostmi,</w:t>
      </w:r>
      <w:r w:rsidR="00B86FA9" w:rsidRPr="003960AA">
        <w:rPr>
          <w:rFonts w:cs="Arial"/>
          <w:sz w:val="20"/>
          <w:szCs w:val="20"/>
        </w:rPr>
        <w:t xml:space="preserve"> ga </w:t>
      </w:r>
      <w:r w:rsidR="0092631F" w:rsidRPr="003960AA">
        <w:rPr>
          <w:rFonts w:cs="Arial"/>
          <w:sz w:val="20"/>
          <w:szCs w:val="20"/>
        </w:rPr>
        <w:t xml:space="preserve">izplača </w:t>
      </w:r>
      <w:r w:rsidR="00FE7DF7" w:rsidRPr="003960AA">
        <w:rPr>
          <w:rFonts w:cs="Arial"/>
          <w:sz w:val="20"/>
          <w:szCs w:val="20"/>
        </w:rPr>
        <w:t>z</w:t>
      </w:r>
      <w:r w:rsidR="0092631F" w:rsidRPr="003960AA">
        <w:rPr>
          <w:rFonts w:cs="Arial"/>
          <w:sz w:val="20"/>
          <w:szCs w:val="20"/>
        </w:rPr>
        <w:t>avarovancem Poklicn</w:t>
      </w:r>
      <w:r w:rsidR="00FE7DF7" w:rsidRPr="003960AA">
        <w:rPr>
          <w:rFonts w:cs="Arial"/>
          <w:sz w:val="20"/>
          <w:szCs w:val="20"/>
        </w:rPr>
        <w:t>ega</w:t>
      </w:r>
      <w:r w:rsidR="0092631F" w:rsidRPr="003960AA">
        <w:rPr>
          <w:rFonts w:cs="Arial"/>
          <w:sz w:val="20"/>
          <w:szCs w:val="20"/>
        </w:rPr>
        <w:t xml:space="preserve"> pokojninsk</w:t>
      </w:r>
      <w:r w:rsidR="00FE7DF7" w:rsidRPr="003960AA">
        <w:rPr>
          <w:rFonts w:cs="Arial"/>
          <w:sz w:val="20"/>
          <w:szCs w:val="20"/>
        </w:rPr>
        <w:t>ega</w:t>
      </w:r>
      <w:r w:rsidR="0092631F" w:rsidRPr="003960AA">
        <w:rPr>
          <w:rFonts w:cs="Arial"/>
          <w:sz w:val="20"/>
          <w:szCs w:val="20"/>
        </w:rPr>
        <w:t xml:space="preserve"> zavarovanj</w:t>
      </w:r>
      <w:r w:rsidR="00FE7DF7" w:rsidRPr="003960AA">
        <w:rPr>
          <w:rFonts w:cs="Arial"/>
          <w:sz w:val="20"/>
          <w:szCs w:val="20"/>
        </w:rPr>
        <w:t>a</w:t>
      </w:r>
      <w:r w:rsidR="0092631F" w:rsidRPr="003960AA">
        <w:rPr>
          <w:rFonts w:cs="Arial"/>
          <w:sz w:val="20"/>
          <w:szCs w:val="20"/>
        </w:rPr>
        <w:t>.</w:t>
      </w:r>
    </w:p>
    <w:p w14:paraId="50FDAB94" w14:textId="77777777" w:rsidR="006869E1" w:rsidRPr="003960AA" w:rsidRDefault="006869E1" w:rsidP="00B34D2B">
      <w:pPr>
        <w:spacing w:line="240" w:lineRule="auto"/>
        <w:contextualSpacing/>
        <w:rPr>
          <w:rFonts w:cs="Arial"/>
          <w:sz w:val="20"/>
          <w:szCs w:val="20"/>
        </w:rPr>
      </w:pPr>
    </w:p>
    <w:p w14:paraId="2EAC2E40" w14:textId="68732297" w:rsidR="008D223F" w:rsidRPr="003960AA" w:rsidRDefault="008D223F" w:rsidP="008736CE">
      <w:pPr>
        <w:spacing w:line="240" w:lineRule="auto"/>
        <w:contextualSpacing/>
        <w:jc w:val="both"/>
        <w:rPr>
          <w:rFonts w:cs="Arial"/>
          <w:sz w:val="20"/>
          <w:szCs w:val="20"/>
        </w:rPr>
      </w:pPr>
      <w:r w:rsidRPr="003960AA">
        <w:rPr>
          <w:rFonts w:cs="Arial"/>
          <w:sz w:val="20"/>
          <w:szCs w:val="20"/>
        </w:rPr>
        <w:t>Celotno dogajanje in stanje pri Poklicnem pokojninskem zavarovanju se nanaša izključno na pravice teh zavarovancev in ne posega v pravice zavarovancev drugih zavarovanj.</w:t>
      </w:r>
    </w:p>
    <w:p w14:paraId="1E770CCB" w14:textId="77777777" w:rsidR="001A1C59" w:rsidRPr="003960AA" w:rsidRDefault="001A1C59" w:rsidP="00B34D2B">
      <w:pPr>
        <w:spacing w:line="240" w:lineRule="auto"/>
        <w:contextualSpacing/>
        <w:rPr>
          <w:rFonts w:cs="Arial"/>
          <w:sz w:val="20"/>
          <w:szCs w:val="20"/>
        </w:rPr>
      </w:pPr>
    </w:p>
    <w:p w14:paraId="58327C6B" w14:textId="230C8220" w:rsidR="001A1C59" w:rsidRPr="00C368E9" w:rsidRDefault="001A1C59" w:rsidP="00B34D2B">
      <w:pPr>
        <w:spacing w:line="240" w:lineRule="auto"/>
        <w:contextualSpacing/>
        <w:rPr>
          <w:rFonts w:cs="Arial"/>
          <w:b/>
          <w:sz w:val="20"/>
          <w:szCs w:val="20"/>
        </w:rPr>
      </w:pPr>
      <w:r w:rsidRPr="003960AA">
        <w:rPr>
          <w:rFonts w:cs="Arial"/>
          <w:b/>
          <w:sz w:val="20"/>
          <w:szCs w:val="20"/>
        </w:rPr>
        <w:t>SOP še naprej vodi sodne postopke proti državi zaradi spremembe</w:t>
      </w:r>
      <w:r w:rsidRPr="00C368E9">
        <w:rPr>
          <w:rFonts w:cs="Arial"/>
          <w:b/>
          <w:sz w:val="20"/>
          <w:szCs w:val="20"/>
        </w:rPr>
        <w:t xml:space="preserve"> načina financiranja.</w:t>
      </w:r>
    </w:p>
    <w:p w14:paraId="23DC0950" w14:textId="77777777" w:rsidR="001A1C59" w:rsidRPr="00C368E9" w:rsidRDefault="001A1C59" w:rsidP="00B34D2B">
      <w:pPr>
        <w:spacing w:line="240" w:lineRule="auto"/>
        <w:contextualSpacing/>
        <w:rPr>
          <w:rFonts w:cs="Arial"/>
          <w:b/>
          <w:sz w:val="20"/>
          <w:szCs w:val="20"/>
        </w:rPr>
      </w:pPr>
    </w:p>
    <w:p w14:paraId="4B5DFFE1" w14:textId="77777777" w:rsidR="001A1C59" w:rsidRDefault="001A1C59" w:rsidP="00B34D2B">
      <w:pPr>
        <w:spacing w:line="240" w:lineRule="auto"/>
        <w:contextualSpacing/>
        <w:rPr>
          <w:rFonts w:cs="Arial"/>
          <w:sz w:val="20"/>
          <w:szCs w:val="20"/>
        </w:rPr>
      </w:pPr>
      <w:r w:rsidRPr="00C368E9">
        <w:rPr>
          <w:rFonts w:cs="Arial"/>
          <w:b/>
          <w:sz w:val="20"/>
          <w:szCs w:val="20"/>
        </w:rPr>
        <w:t>Morebitne presežke nad potrebnimi rezervacijami bo SOP izplačeval tudi v bodoče</w:t>
      </w:r>
      <w:r>
        <w:rPr>
          <w:rFonts w:cs="Arial"/>
          <w:sz w:val="20"/>
          <w:szCs w:val="20"/>
        </w:rPr>
        <w:t>.</w:t>
      </w:r>
    </w:p>
    <w:p w14:paraId="702E2EF4" w14:textId="77777777" w:rsidR="00331B52" w:rsidRPr="005E3B76" w:rsidRDefault="00331B52" w:rsidP="00B34D2B">
      <w:pPr>
        <w:spacing w:line="240" w:lineRule="auto"/>
        <w:contextualSpacing/>
        <w:rPr>
          <w:rFonts w:cs="Arial"/>
          <w:sz w:val="20"/>
          <w:szCs w:val="20"/>
        </w:rPr>
      </w:pPr>
    </w:p>
    <w:p w14:paraId="36CC4D23" w14:textId="4B608447" w:rsidR="008D223F" w:rsidRPr="00D273B5" w:rsidRDefault="008D223F" w:rsidP="00ED7D88">
      <w:pPr>
        <w:pStyle w:val="Odstavekseznama"/>
        <w:numPr>
          <w:ilvl w:val="0"/>
          <w:numId w:val="4"/>
        </w:numPr>
        <w:spacing w:after="0" w:line="240" w:lineRule="auto"/>
        <w:ind w:left="357" w:hanging="357"/>
        <w:outlineLvl w:val="0"/>
        <w:rPr>
          <w:rFonts w:cs="Arial"/>
          <w:b/>
          <w:sz w:val="20"/>
          <w:szCs w:val="20"/>
        </w:rPr>
      </w:pPr>
      <w:r w:rsidRPr="00D273B5">
        <w:rPr>
          <w:rFonts w:cs="Arial"/>
          <w:b/>
          <w:sz w:val="20"/>
          <w:szCs w:val="20"/>
        </w:rPr>
        <w:t>POMEMBNI SKLEPI SKUPŠČINE</w:t>
      </w:r>
      <w:r w:rsidR="00643463" w:rsidRPr="00D273B5">
        <w:rPr>
          <w:rFonts w:cs="Arial"/>
          <w:b/>
          <w:sz w:val="20"/>
          <w:szCs w:val="20"/>
        </w:rPr>
        <w:t xml:space="preserve"> Z DNE 17.6.2021</w:t>
      </w:r>
    </w:p>
    <w:p w14:paraId="77792103" w14:textId="77777777" w:rsidR="00EC2876" w:rsidRPr="00D273B5" w:rsidRDefault="00245A77" w:rsidP="00ED7D88">
      <w:pPr>
        <w:pStyle w:val="Odstavekseznama"/>
        <w:numPr>
          <w:ilvl w:val="0"/>
          <w:numId w:val="22"/>
        </w:numPr>
        <w:spacing w:before="120" w:after="120" w:line="240" w:lineRule="auto"/>
        <w:ind w:left="714" w:hanging="357"/>
        <w:contextualSpacing w:val="0"/>
        <w:outlineLvl w:val="0"/>
        <w:rPr>
          <w:rFonts w:cs="Arial"/>
          <w:b/>
          <w:sz w:val="20"/>
        </w:rPr>
      </w:pPr>
      <w:r w:rsidRPr="00D273B5">
        <w:rPr>
          <w:rFonts w:cs="Arial"/>
          <w:b/>
          <w:sz w:val="20"/>
        </w:rPr>
        <w:t>Skupščina SOP se seznani z revidiranim letnim poročilom za leto 20</w:t>
      </w:r>
      <w:r w:rsidR="00010D87" w:rsidRPr="00D273B5">
        <w:rPr>
          <w:rFonts w:cs="Arial"/>
          <w:b/>
          <w:sz w:val="20"/>
        </w:rPr>
        <w:t>20</w:t>
      </w:r>
      <w:r w:rsidRPr="00D273B5">
        <w:rPr>
          <w:rFonts w:cs="Arial"/>
          <w:b/>
          <w:sz w:val="20"/>
        </w:rPr>
        <w:t>.</w:t>
      </w:r>
    </w:p>
    <w:p w14:paraId="06147307" w14:textId="7CF45F6E" w:rsidR="00577A37" w:rsidRPr="00D273B5" w:rsidRDefault="00577A37" w:rsidP="00EC2876">
      <w:pPr>
        <w:pStyle w:val="Odstavekseznama"/>
        <w:numPr>
          <w:ilvl w:val="0"/>
          <w:numId w:val="22"/>
        </w:numPr>
        <w:spacing w:before="120" w:after="120" w:line="240" w:lineRule="auto"/>
        <w:ind w:left="714" w:hanging="357"/>
        <w:outlineLvl w:val="0"/>
        <w:rPr>
          <w:rFonts w:cs="Arial"/>
          <w:b/>
          <w:sz w:val="20"/>
          <w:szCs w:val="20"/>
        </w:rPr>
      </w:pPr>
      <w:r w:rsidRPr="00D273B5">
        <w:rPr>
          <w:rFonts w:cs="Arial"/>
          <w:b/>
          <w:sz w:val="20"/>
        </w:rPr>
        <w:t xml:space="preserve">Čisti dobiček </w:t>
      </w:r>
      <w:r w:rsidR="00010D87" w:rsidRPr="00D273B5">
        <w:rPr>
          <w:rFonts w:cs="Arial"/>
          <w:b/>
          <w:sz w:val="20"/>
        </w:rPr>
        <w:t>iz sredstev kapitala v višini 171.895,09 EUR ostane kot nerazporejeni dobiček</w:t>
      </w:r>
      <w:r w:rsidRPr="00D273B5">
        <w:rPr>
          <w:rFonts w:cs="Arial"/>
          <w:b/>
          <w:sz w:val="20"/>
        </w:rPr>
        <w:t>.</w:t>
      </w:r>
    </w:p>
    <w:p w14:paraId="598D7D94" w14:textId="31C74D27" w:rsidR="00577A37" w:rsidRPr="00D273B5" w:rsidRDefault="001E6E6E" w:rsidP="00567F86">
      <w:pPr>
        <w:pStyle w:val="Telobesedila-zamik"/>
        <w:numPr>
          <w:ilvl w:val="0"/>
          <w:numId w:val="22"/>
        </w:numPr>
        <w:ind w:left="714" w:hanging="357"/>
        <w:jc w:val="both"/>
        <w:rPr>
          <w:rFonts w:ascii="Arial" w:hAnsi="Arial" w:cs="Arial"/>
          <w:b/>
          <w:sz w:val="20"/>
        </w:rPr>
      </w:pPr>
      <w:r w:rsidRPr="00D273B5">
        <w:rPr>
          <w:rFonts w:ascii="Arial" w:hAnsi="Arial" w:cs="Arial"/>
          <w:b/>
          <w:sz w:val="20"/>
        </w:rPr>
        <w:t>Čista izguba pri kapitalskem pokojn</w:t>
      </w:r>
      <w:r w:rsidR="00677EEC" w:rsidRPr="00D273B5">
        <w:rPr>
          <w:rFonts w:ascii="Arial" w:hAnsi="Arial" w:cs="Arial"/>
          <w:b/>
          <w:sz w:val="20"/>
        </w:rPr>
        <w:t>in</w:t>
      </w:r>
      <w:r w:rsidRPr="00D273B5">
        <w:rPr>
          <w:rFonts w:ascii="Arial" w:hAnsi="Arial" w:cs="Arial"/>
          <w:b/>
          <w:sz w:val="20"/>
        </w:rPr>
        <w:t xml:space="preserve">skem zavarovanju znaša 1.077.311,53 EUR in se pokrije iz nerazporejenih dobičkov družbe. </w:t>
      </w:r>
      <w:r w:rsidR="00577A37" w:rsidRPr="00D273B5">
        <w:rPr>
          <w:rFonts w:ascii="Arial" w:hAnsi="Arial" w:cs="Arial"/>
          <w:b/>
          <w:sz w:val="20"/>
        </w:rPr>
        <w:t>Pre</w:t>
      </w:r>
      <w:r w:rsidRPr="00D273B5">
        <w:rPr>
          <w:rFonts w:ascii="Arial" w:hAnsi="Arial" w:cs="Arial"/>
          <w:b/>
          <w:sz w:val="20"/>
        </w:rPr>
        <w:t>neseni dobički preteklih let znašajo 3.041.992,37 EUR, tekoči dobiček družbe znaša 171.895,09 EUR. Nov bilančni dobiček je v višini 2.136.575,93 EUR.</w:t>
      </w:r>
    </w:p>
    <w:p w14:paraId="24176CC9" w14:textId="1EC30351" w:rsidR="00577A37" w:rsidRPr="00D273B5" w:rsidRDefault="00577A37" w:rsidP="00EC2876">
      <w:pPr>
        <w:pStyle w:val="Telobesedila-zamik"/>
        <w:numPr>
          <w:ilvl w:val="0"/>
          <w:numId w:val="22"/>
        </w:numPr>
        <w:spacing w:after="0"/>
        <w:jc w:val="both"/>
        <w:rPr>
          <w:rFonts w:ascii="Arial" w:hAnsi="Arial" w:cs="Arial"/>
          <w:b/>
          <w:bCs/>
          <w:sz w:val="20"/>
        </w:rPr>
      </w:pPr>
      <w:r w:rsidRPr="00D273B5">
        <w:rPr>
          <w:rFonts w:ascii="Arial" w:hAnsi="Arial" w:cs="Arial"/>
          <w:b/>
          <w:sz w:val="20"/>
        </w:rPr>
        <w:t>Nadzornemu svetu se podeli razrešnica za poslovno leto 20</w:t>
      </w:r>
      <w:r w:rsidR="001E6E6E" w:rsidRPr="00D273B5">
        <w:rPr>
          <w:rFonts w:ascii="Arial" w:hAnsi="Arial" w:cs="Arial"/>
          <w:b/>
          <w:sz w:val="20"/>
        </w:rPr>
        <w:t>20</w:t>
      </w:r>
      <w:r w:rsidRPr="00D273B5">
        <w:rPr>
          <w:rFonts w:ascii="Arial" w:hAnsi="Arial" w:cs="Arial"/>
          <w:b/>
          <w:sz w:val="20"/>
        </w:rPr>
        <w:t>.</w:t>
      </w:r>
      <w:r w:rsidRPr="00D273B5">
        <w:rPr>
          <w:rFonts w:ascii="Arial" w:hAnsi="Arial" w:cs="Arial"/>
          <w:b/>
          <w:bCs/>
          <w:sz w:val="20"/>
        </w:rPr>
        <w:t xml:space="preserve">   </w:t>
      </w:r>
    </w:p>
    <w:p w14:paraId="0EB1A494" w14:textId="3510EAC4" w:rsidR="001E6E6E" w:rsidRPr="00D273B5" w:rsidRDefault="001E6E6E" w:rsidP="00EC2876">
      <w:pPr>
        <w:pStyle w:val="Telobesedila-zamik"/>
        <w:numPr>
          <w:ilvl w:val="0"/>
          <w:numId w:val="22"/>
        </w:numPr>
        <w:spacing w:before="120"/>
        <w:ind w:left="714" w:hanging="357"/>
        <w:jc w:val="both"/>
        <w:rPr>
          <w:rFonts w:ascii="Arial" w:hAnsi="Arial" w:cs="Arial"/>
          <w:b/>
          <w:bCs/>
          <w:sz w:val="20"/>
        </w:rPr>
      </w:pPr>
      <w:r w:rsidRPr="00D273B5">
        <w:rPr>
          <w:rFonts w:ascii="Arial" w:hAnsi="Arial" w:cs="Arial"/>
          <w:b/>
          <w:sz w:val="20"/>
        </w:rPr>
        <w:t>Upravi se podeli razrešnica za poslovno leto 2020.</w:t>
      </w:r>
    </w:p>
    <w:p w14:paraId="783255F4" w14:textId="211A56DA" w:rsidR="00577A37" w:rsidRPr="00D273B5" w:rsidRDefault="006737F1" w:rsidP="00EC2876">
      <w:pPr>
        <w:pStyle w:val="Odstavekseznama"/>
        <w:numPr>
          <w:ilvl w:val="0"/>
          <w:numId w:val="22"/>
        </w:numPr>
        <w:spacing w:before="120" w:after="120" w:line="240" w:lineRule="auto"/>
        <w:ind w:left="714" w:hanging="357"/>
        <w:jc w:val="both"/>
        <w:rPr>
          <w:rFonts w:cs="Arial"/>
          <w:b/>
          <w:sz w:val="20"/>
        </w:rPr>
      </w:pPr>
      <w:r w:rsidRPr="00D273B5">
        <w:rPr>
          <w:rFonts w:cs="Arial"/>
          <w:b/>
          <w:iCs/>
          <w:sz w:val="20"/>
          <w:szCs w:val="20"/>
        </w:rPr>
        <w:t>Skupščina SOP sprejme sklep o izplačilu enkratnega dodatka zavarovancem Poklicnega pokojninskega zavarovanja v višini 1,5 mio EUR. Aktivnim, kapitaliziranim in članom upokojenim po 31.5.2019, se izplača 20% večji delež. Izplačilo se izvrši na stanje na dan 30.6.202</w:t>
      </w:r>
      <w:r w:rsidR="006B41F2" w:rsidRPr="00D273B5">
        <w:rPr>
          <w:rFonts w:cs="Arial"/>
          <w:b/>
          <w:iCs/>
          <w:sz w:val="20"/>
          <w:szCs w:val="20"/>
        </w:rPr>
        <w:t>1</w:t>
      </w:r>
      <w:r w:rsidRPr="00D273B5">
        <w:rPr>
          <w:rFonts w:cs="Arial"/>
          <w:b/>
          <w:iCs/>
          <w:sz w:val="20"/>
          <w:szCs w:val="20"/>
        </w:rPr>
        <w:t xml:space="preserve"> na način, da se 1,5 mio EUR razdeli članom v deležu, ki ga imajo v vsoti vseh matematičnih rezervacij (upokojenci) in evidenčnih stanj polic (aktivni člani). Upokojencem </w:t>
      </w:r>
      <w:r w:rsidRPr="00D273B5">
        <w:rPr>
          <w:rFonts w:cs="Arial"/>
          <w:b/>
          <w:iCs/>
          <w:sz w:val="20"/>
          <w:szCs w:val="20"/>
        </w:rPr>
        <w:lastRenderedPageBreak/>
        <w:t xml:space="preserve">se dodatek izplača k pokojnini, aktivnim članom se pripiše k evidenčnemu stanju </w:t>
      </w:r>
      <w:r w:rsidRPr="00D273B5">
        <w:rPr>
          <w:rFonts w:cs="Arial"/>
          <w:b/>
          <w:sz w:val="20"/>
        </w:rPr>
        <w:t>police. Sklep se izvrši do 31.8.202</w:t>
      </w:r>
      <w:r w:rsidR="006B41F2" w:rsidRPr="00D273B5">
        <w:rPr>
          <w:rFonts w:cs="Arial"/>
          <w:b/>
          <w:sz w:val="20"/>
        </w:rPr>
        <w:t>1</w:t>
      </w:r>
      <w:r w:rsidRPr="00D273B5">
        <w:rPr>
          <w:rFonts w:cs="Arial"/>
          <w:b/>
          <w:sz w:val="20"/>
        </w:rPr>
        <w:t>.</w:t>
      </w:r>
    </w:p>
    <w:p w14:paraId="560FC801" w14:textId="77777777" w:rsidR="00EA55FD" w:rsidRDefault="00EA55FD" w:rsidP="00E80716">
      <w:pPr>
        <w:tabs>
          <w:tab w:val="left" w:pos="5670"/>
        </w:tabs>
        <w:rPr>
          <w:rFonts w:eastAsia="Calibri" w:cs="Arial"/>
          <w:i/>
          <w:iCs/>
          <w:sz w:val="20"/>
          <w:szCs w:val="20"/>
          <w:lang w:eastAsia="en-US"/>
        </w:rPr>
      </w:pPr>
    </w:p>
    <w:p w14:paraId="1816862F" w14:textId="3F1F3EE7" w:rsidR="00261086" w:rsidRPr="00E80716" w:rsidRDefault="002C691B" w:rsidP="00D273B5">
      <w:pPr>
        <w:pStyle w:val="Odstavekseznama"/>
        <w:numPr>
          <w:ilvl w:val="0"/>
          <w:numId w:val="22"/>
        </w:numPr>
        <w:spacing w:line="240" w:lineRule="auto"/>
        <w:ind w:left="357" w:hanging="357"/>
        <w:outlineLvl w:val="0"/>
        <w:rPr>
          <w:rFonts w:cs="Arial"/>
          <w:b/>
          <w:sz w:val="20"/>
          <w:szCs w:val="20"/>
        </w:rPr>
      </w:pPr>
      <w:r>
        <w:rPr>
          <w:rFonts w:eastAsia="Calibri" w:cs="Arial"/>
          <w:b/>
          <w:iCs/>
          <w:sz w:val="20"/>
          <w:szCs w:val="20"/>
          <w:lang w:eastAsia="en-US"/>
        </w:rPr>
        <w:t>RPZ – PRISTOPNA IZJAVA ZA ČLANSTVO V SOP</w:t>
      </w:r>
      <w:r w:rsidR="005A63DE">
        <w:rPr>
          <w:rFonts w:eastAsia="Calibri" w:cs="Arial"/>
          <w:b/>
          <w:iCs/>
          <w:sz w:val="20"/>
          <w:szCs w:val="20"/>
          <w:lang w:eastAsia="en-US"/>
        </w:rPr>
        <w:t>, (samo za aktivne in upokojene člane RPZ zavarovanj)</w:t>
      </w:r>
    </w:p>
    <w:p w14:paraId="660D98A6" w14:textId="54C89B59" w:rsidR="00245A77" w:rsidRPr="002C691B" w:rsidRDefault="002C691B" w:rsidP="00643463">
      <w:pPr>
        <w:tabs>
          <w:tab w:val="left" w:pos="5670"/>
        </w:tabs>
        <w:spacing w:line="240" w:lineRule="auto"/>
        <w:jc w:val="both"/>
        <w:rPr>
          <w:rFonts w:eastAsia="Calibri" w:cs="Arial"/>
          <w:b/>
          <w:iCs/>
          <w:sz w:val="20"/>
          <w:szCs w:val="20"/>
          <w:u w:val="single"/>
        </w:rPr>
      </w:pPr>
      <w:r w:rsidRPr="002C691B">
        <w:rPr>
          <w:rFonts w:cs="Arial"/>
          <w:b/>
          <w:sz w:val="20"/>
          <w:szCs w:val="20"/>
          <w:u w:val="single"/>
        </w:rPr>
        <w:t>Ker so bila RPZ zavarovanja prenesen</w:t>
      </w:r>
      <w:r w:rsidR="00AE7D1A">
        <w:rPr>
          <w:rFonts w:cs="Arial"/>
          <w:b/>
          <w:sz w:val="20"/>
          <w:szCs w:val="20"/>
          <w:u w:val="single"/>
        </w:rPr>
        <w:t>a</w:t>
      </w:r>
      <w:r w:rsidRPr="002C691B">
        <w:rPr>
          <w:rFonts w:cs="Arial"/>
          <w:b/>
          <w:sz w:val="20"/>
          <w:szCs w:val="20"/>
          <w:u w:val="single"/>
        </w:rPr>
        <w:t xml:space="preserve"> na Zavarovalnico</w:t>
      </w:r>
      <w:r w:rsidR="00AE7D1A">
        <w:rPr>
          <w:rFonts w:cs="Arial"/>
          <w:b/>
          <w:sz w:val="20"/>
          <w:szCs w:val="20"/>
          <w:u w:val="single"/>
        </w:rPr>
        <w:t>,</w:t>
      </w:r>
      <w:r w:rsidRPr="002C691B">
        <w:rPr>
          <w:rFonts w:cs="Arial"/>
          <w:b/>
          <w:sz w:val="20"/>
          <w:szCs w:val="20"/>
          <w:u w:val="single"/>
        </w:rPr>
        <w:t xml:space="preserve"> morajo člani RPZ podpisati pristopno izjavo za </w:t>
      </w:r>
      <w:r w:rsidR="00AE7D1A">
        <w:rPr>
          <w:rFonts w:cs="Arial"/>
          <w:b/>
          <w:sz w:val="20"/>
          <w:szCs w:val="20"/>
          <w:u w:val="single"/>
        </w:rPr>
        <w:t>včlanitev  v</w:t>
      </w:r>
      <w:r w:rsidRPr="002C691B">
        <w:rPr>
          <w:rFonts w:cs="Arial"/>
          <w:b/>
          <w:sz w:val="20"/>
          <w:szCs w:val="20"/>
          <w:u w:val="single"/>
        </w:rPr>
        <w:t xml:space="preserve"> SOP, </w:t>
      </w:r>
      <w:r w:rsidR="00AE7D1A">
        <w:rPr>
          <w:rFonts w:cs="Arial"/>
          <w:b/>
          <w:sz w:val="20"/>
          <w:szCs w:val="20"/>
          <w:u w:val="single"/>
        </w:rPr>
        <w:t>v kolikor</w:t>
      </w:r>
      <w:r w:rsidRPr="002C691B">
        <w:rPr>
          <w:rFonts w:cs="Arial"/>
          <w:b/>
          <w:sz w:val="20"/>
          <w:szCs w:val="20"/>
          <w:u w:val="single"/>
        </w:rPr>
        <w:t xml:space="preserve"> želijo ostati njegovi člani</w:t>
      </w:r>
      <w:r w:rsidR="005A63DE">
        <w:rPr>
          <w:rFonts w:cs="Arial"/>
          <w:b/>
          <w:sz w:val="20"/>
          <w:szCs w:val="20"/>
          <w:u w:val="single"/>
        </w:rPr>
        <w:t xml:space="preserve"> in sodelovati</w:t>
      </w:r>
      <w:r w:rsidR="00AE7D1A">
        <w:rPr>
          <w:rFonts w:cs="Arial"/>
          <w:b/>
          <w:sz w:val="20"/>
          <w:szCs w:val="20"/>
          <w:u w:val="single"/>
        </w:rPr>
        <w:t xml:space="preserve"> pri upravljanju SOP</w:t>
      </w:r>
      <w:r w:rsidRPr="002C691B">
        <w:rPr>
          <w:rFonts w:cs="Arial"/>
          <w:b/>
          <w:sz w:val="20"/>
          <w:szCs w:val="20"/>
          <w:u w:val="single"/>
        </w:rPr>
        <w:t>. Na ta način bodo zadržali vse dosedanje pravice, ki jih imajo kot člani.</w:t>
      </w:r>
      <w:r w:rsidR="00245A77" w:rsidRPr="002C691B">
        <w:rPr>
          <w:rFonts w:eastAsia="Calibri" w:cs="Arial"/>
          <w:b/>
          <w:iCs/>
          <w:sz w:val="20"/>
          <w:szCs w:val="20"/>
          <w:u w:val="single"/>
        </w:rPr>
        <w:t xml:space="preserve"> </w:t>
      </w:r>
    </w:p>
    <w:p w14:paraId="32A605C7" w14:textId="77777777" w:rsidR="00696580" w:rsidRPr="00C368E9" w:rsidRDefault="00696580" w:rsidP="00643463">
      <w:pPr>
        <w:tabs>
          <w:tab w:val="left" w:pos="5670"/>
        </w:tabs>
        <w:spacing w:line="240" w:lineRule="auto"/>
        <w:jc w:val="both"/>
        <w:rPr>
          <w:rFonts w:eastAsia="Calibri" w:cs="Arial"/>
          <w:b/>
          <w:iCs/>
          <w:sz w:val="20"/>
          <w:szCs w:val="20"/>
          <w:u w:val="single"/>
        </w:rPr>
      </w:pPr>
    </w:p>
    <w:p w14:paraId="5C905C47" w14:textId="00D7509D" w:rsidR="008D223F" w:rsidRPr="005E3B76" w:rsidRDefault="00E35E21" w:rsidP="008736CE">
      <w:pPr>
        <w:spacing w:line="240" w:lineRule="auto"/>
        <w:contextualSpacing/>
        <w:jc w:val="both"/>
        <w:outlineLvl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Za </w:t>
      </w:r>
      <w:r w:rsidR="008D223F" w:rsidRPr="005E3B76">
        <w:rPr>
          <w:rFonts w:cs="Arial"/>
          <w:sz w:val="20"/>
          <w:szCs w:val="20"/>
        </w:rPr>
        <w:t xml:space="preserve">vsa dodatna vprašanja smo vam na voljo po telefonu na številkah 01/300 36 </w:t>
      </w:r>
      <w:r w:rsidR="004A5FA8">
        <w:rPr>
          <w:rFonts w:cs="Arial"/>
          <w:sz w:val="20"/>
          <w:szCs w:val="20"/>
        </w:rPr>
        <w:t>19</w:t>
      </w:r>
      <w:r w:rsidR="002B137D">
        <w:rPr>
          <w:rFonts w:cs="Arial"/>
          <w:sz w:val="20"/>
          <w:szCs w:val="20"/>
        </w:rPr>
        <w:t xml:space="preserve"> (izračun pokojnin)</w:t>
      </w:r>
      <w:r w:rsidR="008D223F" w:rsidRPr="005E3B76">
        <w:rPr>
          <w:rFonts w:cs="Arial"/>
          <w:sz w:val="20"/>
          <w:szCs w:val="20"/>
        </w:rPr>
        <w:t>, 01/300 36 2</w:t>
      </w:r>
      <w:r w:rsidR="005943A5">
        <w:rPr>
          <w:rFonts w:cs="Arial"/>
          <w:sz w:val="20"/>
          <w:szCs w:val="20"/>
        </w:rPr>
        <w:t>0</w:t>
      </w:r>
      <w:r w:rsidR="002B137D">
        <w:rPr>
          <w:rFonts w:cs="Arial"/>
          <w:sz w:val="20"/>
          <w:szCs w:val="20"/>
        </w:rPr>
        <w:t xml:space="preserve"> (izplačilo pokojnin)</w:t>
      </w:r>
      <w:r w:rsidR="008D223F" w:rsidRPr="005E3B76">
        <w:rPr>
          <w:rFonts w:cs="Arial"/>
          <w:sz w:val="20"/>
          <w:szCs w:val="20"/>
        </w:rPr>
        <w:t xml:space="preserve"> in 01/300 36 1</w:t>
      </w:r>
      <w:r w:rsidR="002B137D">
        <w:rPr>
          <w:rFonts w:cs="Arial"/>
          <w:sz w:val="20"/>
          <w:szCs w:val="20"/>
        </w:rPr>
        <w:t>8 (knjigovodstvo)</w:t>
      </w:r>
      <w:r w:rsidR="00214437">
        <w:rPr>
          <w:rFonts w:cs="Arial"/>
          <w:sz w:val="20"/>
          <w:szCs w:val="20"/>
        </w:rPr>
        <w:t>,</w:t>
      </w:r>
      <w:r w:rsidR="008D223F" w:rsidRPr="005E3B76">
        <w:rPr>
          <w:rFonts w:cs="Arial"/>
          <w:sz w:val="20"/>
          <w:szCs w:val="20"/>
        </w:rPr>
        <w:t xml:space="preserve"> oziroma na sedežu SOP-a. Informacije pa so dosegljive tudi na </w:t>
      </w:r>
      <w:hyperlink r:id="rId8" w:history="1">
        <w:r w:rsidR="008D223F" w:rsidRPr="005E3B76">
          <w:rPr>
            <w:rStyle w:val="Hiperpovezava"/>
            <w:rFonts w:cs="Arial"/>
            <w:sz w:val="20"/>
            <w:szCs w:val="20"/>
          </w:rPr>
          <w:t>www.sop.si</w:t>
        </w:r>
      </w:hyperlink>
      <w:r w:rsidR="008D223F" w:rsidRPr="005E3B76">
        <w:rPr>
          <w:rFonts w:cs="Arial"/>
          <w:sz w:val="20"/>
          <w:szCs w:val="20"/>
        </w:rPr>
        <w:t xml:space="preserve">. </w:t>
      </w:r>
    </w:p>
    <w:p w14:paraId="2930F373" w14:textId="77777777" w:rsidR="008D223F" w:rsidRDefault="008D223F" w:rsidP="00B34D2B">
      <w:pPr>
        <w:spacing w:line="240" w:lineRule="auto"/>
        <w:contextualSpacing/>
        <w:rPr>
          <w:rFonts w:cs="Arial"/>
          <w:sz w:val="20"/>
          <w:szCs w:val="20"/>
        </w:rPr>
      </w:pPr>
    </w:p>
    <w:p w14:paraId="55F84C95" w14:textId="77777777" w:rsidR="00EA4DD4" w:rsidRDefault="00EA4DD4" w:rsidP="00EA4DD4">
      <w:pPr>
        <w:spacing w:line="240" w:lineRule="auto"/>
        <w:contextualSpacing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Obveščanje o aktualnem dogajanju poteka preko spleta.</w:t>
      </w:r>
    </w:p>
    <w:p w14:paraId="319EC6BF" w14:textId="77777777" w:rsidR="00EA4DD4" w:rsidRDefault="00EA4DD4" w:rsidP="00B34D2B">
      <w:pPr>
        <w:spacing w:line="240" w:lineRule="auto"/>
        <w:contextualSpacing/>
        <w:rPr>
          <w:rFonts w:cs="Arial"/>
          <w:sz w:val="20"/>
          <w:szCs w:val="20"/>
        </w:rPr>
      </w:pPr>
    </w:p>
    <w:p w14:paraId="333B6654" w14:textId="77777777" w:rsidR="00EA4DD4" w:rsidRPr="005E3B76" w:rsidRDefault="00EA4DD4" w:rsidP="00B34D2B">
      <w:pPr>
        <w:spacing w:line="240" w:lineRule="auto"/>
        <w:contextualSpacing/>
        <w:rPr>
          <w:rFonts w:cs="Arial"/>
          <w:sz w:val="20"/>
          <w:szCs w:val="20"/>
        </w:rPr>
      </w:pPr>
    </w:p>
    <w:p w14:paraId="08D16F4C" w14:textId="14C083AD" w:rsidR="00EA4DD4" w:rsidRPr="00F41A90" w:rsidRDefault="009724D2" w:rsidP="00B34D2B">
      <w:pPr>
        <w:spacing w:line="240" w:lineRule="auto"/>
        <w:contextualSpacing/>
        <w:rPr>
          <w:rFonts w:cs="Arial"/>
          <w:sz w:val="20"/>
          <w:szCs w:val="20"/>
        </w:rPr>
      </w:pPr>
      <w:r w:rsidRPr="00F41A90">
        <w:rPr>
          <w:rFonts w:cs="Arial"/>
          <w:sz w:val="20"/>
          <w:szCs w:val="20"/>
        </w:rPr>
        <w:t>Ljubljana,</w:t>
      </w:r>
      <w:r w:rsidR="0043759C">
        <w:rPr>
          <w:rFonts w:cs="Arial"/>
          <w:sz w:val="20"/>
          <w:szCs w:val="20"/>
        </w:rPr>
        <w:t xml:space="preserve"> </w:t>
      </w:r>
      <w:r w:rsidR="00EA55FD">
        <w:rPr>
          <w:rFonts w:cs="Arial"/>
          <w:sz w:val="20"/>
          <w:szCs w:val="20"/>
        </w:rPr>
        <w:t>7.7.2021</w:t>
      </w:r>
      <w:r w:rsidRPr="00F41A90">
        <w:rPr>
          <w:rFonts w:cs="Arial"/>
          <w:sz w:val="20"/>
          <w:szCs w:val="20"/>
        </w:rPr>
        <w:t xml:space="preserve"> </w:t>
      </w:r>
    </w:p>
    <w:p w14:paraId="65A774B9" w14:textId="77777777" w:rsidR="00EA4DD4" w:rsidRDefault="00EA4DD4" w:rsidP="00B34D2B">
      <w:pPr>
        <w:spacing w:line="240" w:lineRule="auto"/>
        <w:contextualSpacing/>
        <w:rPr>
          <w:rFonts w:cs="Arial"/>
          <w:b/>
          <w:sz w:val="20"/>
          <w:szCs w:val="20"/>
        </w:rPr>
      </w:pPr>
    </w:p>
    <w:p w14:paraId="6435CD4C" w14:textId="77777777" w:rsidR="00EA4DD4" w:rsidRPr="002E3858" w:rsidRDefault="00EA4DD4" w:rsidP="00B34D2B">
      <w:pPr>
        <w:spacing w:line="240" w:lineRule="auto"/>
        <w:contextualSpacing/>
        <w:rPr>
          <w:rFonts w:cs="Arial"/>
          <w:b/>
          <w:sz w:val="20"/>
          <w:szCs w:val="20"/>
        </w:rPr>
      </w:pPr>
    </w:p>
    <w:p w14:paraId="7F11D29E" w14:textId="77777777" w:rsidR="008D223F" w:rsidRPr="005E3B76" w:rsidRDefault="002E3858" w:rsidP="00B34D2B">
      <w:pPr>
        <w:spacing w:line="240" w:lineRule="auto"/>
        <w:contextualSpacing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 w:rsidR="008D223F" w:rsidRPr="005E3B76">
        <w:rPr>
          <w:rFonts w:cs="Arial"/>
          <w:sz w:val="20"/>
          <w:szCs w:val="20"/>
        </w:rPr>
        <w:tab/>
      </w:r>
      <w:r w:rsidR="008D223F" w:rsidRPr="005E3B76">
        <w:rPr>
          <w:rFonts w:cs="Arial"/>
          <w:sz w:val="20"/>
          <w:szCs w:val="20"/>
        </w:rPr>
        <w:tab/>
      </w:r>
      <w:r w:rsidR="008D223F" w:rsidRPr="005E3B76">
        <w:rPr>
          <w:rFonts w:cs="Arial"/>
          <w:sz w:val="20"/>
          <w:szCs w:val="20"/>
        </w:rPr>
        <w:tab/>
      </w:r>
      <w:r w:rsidR="008D223F" w:rsidRPr="005E3B76">
        <w:rPr>
          <w:rFonts w:cs="Arial"/>
          <w:sz w:val="20"/>
          <w:szCs w:val="20"/>
        </w:rPr>
        <w:tab/>
      </w:r>
      <w:r w:rsidR="008D223F" w:rsidRPr="005E3B76">
        <w:rPr>
          <w:rFonts w:cs="Arial"/>
          <w:sz w:val="20"/>
          <w:szCs w:val="20"/>
        </w:rPr>
        <w:tab/>
        <w:t>član uprave</w:t>
      </w:r>
      <w:r w:rsidR="008D223F" w:rsidRPr="005E3B76">
        <w:rPr>
          <w:rFonts w:cs="Arial"/>
          <w:sz w:val="20"/>
          <w:szCs w:val="20"/>
        </w:rPr>
        <w:tab/>
      </w:r>
      <w:r w:rsidR="008D223F" w:rsidRPr="005E3B76">
        <w:rPr>
          <w:rFonts w:cs="Arial"/>
          <w:sz w:val="20"/>
          <w:szCs w:val="20"/>
        </w:rPr>
        <w:tab/>
      </w:r>
      <w:r w:rsidR="008D223F" w:rsidRPr="005E3B76">
        <w:rPr>
          <w:rFonts w:cs="Arial"/>
          <w:sz w:val="20"/>
          <w:szCs w:val="20"/>
        </w:rPr>
        <w:tab/>
      </w:r>
      <w:r w:rsidR="008D223F" w:rsidRPr="005E3B76">
        <w:rPr>
          <w:rFonts w:cs="Arial"/>
          <w:sz w:val="20"/>
          <w:szCs w:val="20"/>
        </w:rPr>
        <w:tab/>
        <w:t>predsednik uprave</w:t>
      </w:r>
    </w:p>
    <w:p w14:paraId="69C9FAD2" w14:textId="77777777" w:rsidR="00A73B09" w:rsidRDefault="008D223F" w:rsidP="0097472C">
      <w:pPr>
        <w:spacing w:line="240" w:lineRule="auto"/>
        <w:contextualSpacing/>
        <w:rPr>
          <w:rFonts w:cs="Arial"/>
          <w:sz w:val="20"/>
          <w:szCs w:val="20"/>
        </w:rPr>
      </w:pPr>
      <w:r w:rsidRPr="005E3B76">
        <w:rPr>
          <w:rFonts w:cs="Arial"/>
          <w:sz w:val="20"/>
          <w:szCs w:val="20"/>
        </w:rPr>
        <w:tab/>
      </w:r>
      <w:r w:rsidR="002E3858">
        <w:rPr>
          <w:rFonts w:cs="Arial"/>
          <w:sz w:val="20"/>
          <w:szCs w:val="20"/>
        </w:rPr>
        <w:tab/>
      </w:r>
      <w:r w:rsidRPr="005E3B76">
        <w:rPr>
          <w:rFonts w:cs="Arial"/>
          <w:sz w:val="20"/>
          <w:szCs w:val="20"/>
        </w:rPr>
        <w:tab/>
      </w:r>
      <w:r w:rsidRPr="005E3B76">
        <w:rPr>
          <w:rFonts w:cs="Arial"/>
          <w:sz w:val="20"/>
          <w:szCs w:val="20"/>
        </w:rPr>
        <w:tab/>
      </w:r>
      <w:r w:rsidRPr="005E3B76">
        <w:rPr>
          <w:rFonts w:cs="Arial"/>
          <w:sz w:val="20"/>
          <w:szCs w:val="20"/>
        </w:rPr>
        <w:tab/>
      </w:r>
      <w:r w:rsidRPr="005E3B76">
        <w:rPr>
          <w:rFonts w:cs="Arial"/>
          <w:sz w:val="20"/>
          <w:szCs w:val="20"/>
        </w:rPr>
        <w:tab/>
        <w:t>mag. Božidar Marot</w:t>
      </w:r>
      <w:r w:rsidRPr="005E3B76">
        <w:rPr>
          <w:rFonts w:cs="Arial"/>
          <w:sz w:val="20"/>
          <w:szCs w:val="20"/>
        </w:rPr>
        <w:tab/>
      </w:r>
      <w:r w:rsidRPr="005E3B76">
        <w:rPr>
          <w:rFonts w:cs="Arial"/>
          <w:sz w:val="20"/>
          <w:szCs w:val="20"/>
        </w:rPr>
        <w:tab/>
      </w:r>
      <w:r w:rsidRPr="005E3B76">
        <w:rPr>
          <w:rFonts w:cs="Arial"/>
          <w:sz w:val="20"/>
          <w:szCs w:val="20"/>
        </w:rPr>
        <w:tab/>
        <w:t xml:space="preserve">mag. </w:t>
      </w:r>
      <w:smartTag w:uri="urn:schemas-microsoft-com:office:smarttags" w:element="PersonName">
        <w:smartTagPr>
          <w:attr w:name="ProductID" w:val="Bojan Jean"/>
        </w:smartTagPr>
        <w:r w:rsidRPr="005E3B76">
          <w:rPr>
            <w:rFonts w:cs="Arial"/>
            <w:sz w:val="20"/>
            <w:szCs w:val="20"/>
          </w:rPr>
          <w:t>Bojan Jean</w:t>
        </w:r>
      </w:smartTag>
      <w:r w:rsidRPr="005E3B76">
        <w:rPr>
          <w:rFonts w:cs="Arial"/>
          <w:sz w:val="20"/>
          <w:szCs w:val="20"/>
        </w:rPr>
        <w:tab/>
      </w:r>
    </w:p>
    <w:p w14:paraId="04A83B36" w14:textId="77777777" w:rsidR="005A2829" w:rsidRDefault="005A2829" w:rsidP="0097472C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0461F">
        <w:rPr>
          <w:noProof/>
        </w:rPr>
        <w:drawing>
          <wp:inline distT="0" distB="0" distL="0" distR="0" wp14:anchorId="134F0E4C" wp14:editId="5AE4357A">
            <wp:extent cx="1143000" cy="525780"/>
            <wp:effectExtent l="0" t="0" r="0" b="762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 w:rsidRPr="00A1538C">
        <w:rPr>
          <w:noProof/>
          <w:sz w:val="20"/>
        </w:rPr>
        <w:drawing>
          <wp:inline distT="0" distB="0" distL="0" distR="0" wp14:anchorId="7FE4682D" wp14:editId="787D84E6">
            <wp:extent cx="1234440" cy="525780"/>
            <wp:effectExtent l="0" t="0" r="3810" b="7620"/>
            <wp:docPr id="4" name="Slika 4" descr="podpis-je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dpis-jea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p w14:paraId="44F42FD4" w14:textId="77777777" w:rsidR="00D90784" w:rsidRDefault="00D90784" w:rsidP="0097472C">
      <w:pPr>
        <w:spacing w:line="240" w:lineRule="auto"/>
        <w:contextualSpacing/>
      </w:pPr>
    </w:p>
    <w:p w14:paraId="66DBAE1B" w14:textId="77777777" w:rsidR="00D90784" w:rsidRDefault="00D90784" w:rsidP="0097472C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E3B65">
        <w:rPr>
          <w:noProof/>
        </w:rPr>
        <w:drawing>
          <wp:inline distT="0" distB="0" distL="0" distR="0" wp14:anchorId="026063D2" wp14:editId="46E210EF">
            <wp:extent cx="1069260" cy="685669"/>
            <wp:effectExtent l="0" t="0" r="0" b="635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0211" cy="705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B336B3" w14:textId="77777777" w:rsidR="0088083E" w:rsidRDefault="0088083E" w:rsidP="0097472C">
      <w:pPr>
        <w:spacing w:line="240" w:lineRule="auto"/>
        <w:contextualSpacing/>
      </w:pPr>
    </w:p>
    <w:p w14:paraId="671DC483" w14:textId="77777777" w:rsidR="00623FF0" w:rsidRDefault="00623FF0" w:rsidP="0097472C">
      <w:pPr>
        <w:spacing w:line="240" w:lineRule="auto"/>
        <w:contextualSpacing/>
      </w:pPr>
    </w:p>
    <w:p w14:paraId="7C08B472" w14:textId="4F0C8E36" w:rsidR="00623FF0" w:rsidRDefault="00623FF0"/>
    <w:sectPr w:rsidR="00623FF0" w:rsidSect="00B34D2B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644" w:right="567" w:bottom="964" w:left="567" w:header="567" w:footer="39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3F1BA4" w14:textId="77777777" w:rsidR="00523E6E" w:rsidRDefault="00523E6E" w:rsidP="00FB518B">
      <w:r>
        <w:separator/>
      </w:r>
    </w:p>
  </w:endnote>
  <w:endnote w:type="continuationSeparator" w:id="0">
    <w:p w14:paraId="43A425F8" w14:textId="77777777" w:rsidR="00523E6E" w:rsidRDefault="00523E6E" w:rsidP="00FB5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24493A" w14:textId="77777777" w:rsidR="00C5163B" w:rsidRPr="00FB518B" w:rsidRDefault="00C5163B" w:rsidP="00FB518B">
    <w:pPr>
      <w:pStyle w:val="Noga"/>
      <w:jc w:val="center"/>
      <w:rPr>
        <w:sz w:val="18"/>
        <w:szCs w:val="18"/>
      </w:rPr>
    </w:pPr>
  </w:p>
  <w:p w14:paraId="0E1A2006" w14:textId="77777777" w:rsidR="00C5163B" w:rsidRPr="00FB518B" w:rsidRDefault="00C5163B" w:rsidP="00FB518B">
    <w:pPr>
      <w:pStyle w:val="Noga"/>
      <w:jc w:val="center"/>
      <w:rPr>
        <w:sz w:val="18"/>
        <w:szCs w:val="18"/>
      </w:rPr>
    </w:pPr>
    <w:r w:rsidRPr="00FB518B">
      <w:rPr>
        <w:sz w:val="18"/>
        <w:szCs w:val="18"/>
      </w:rPr>
      <w:t xml:space="preserve">Sklad obrtnikov in podjetnikov, Vošnjakova 6, 1000 Ljubljana, T: 080 1956, F: 01 431 83 03, </w:t>
    </w:r>
    <w:hyperlink r:id="rId1" w:history="1">
      <w:r w:rsidRPr="00FB518B">
        <w:rPr>
          <w:rStyle w:val="Hiperpovezava"/>
          <w:color w:val="auto"/>
          <w:sz w:val="18"/>
          <w:szCs w:val="18"/>
          <w:u w:val="none"/>
        </w:rPr>
        <w:t>info@sop.si</w:t>
      </w:r>
    </w:hyperlink>
  </w:p>
  <w:p w14:paraId="1B4B3384" w14:textId="77777777" w:rsidR="00C5163B" w:rsidRPr="00FB518B" w:rsidRDefault="00564396" w:rsidP="00FB518B">
    <w:pPr>
      <w:pStyle w:val="Noga"/>
      <w:jc w:val="center"/>
      <w:rPr>
        <w:sz w:val="18"/>
        <w:szCs w:val="18"/>
      </w:rPr>
    </w:pPr>
    <w:hyperlink r:id="rId2" w:history="1">
      <w:r w:rsidR="00C5163B" w:rsidRPr="00FB518B">
        <w:rPr>
          <w:rStyle w:val="Hiperpovezava"/>
          <w:color w:val="auto"/>
          <w:sz w:val="18"/>
          <w:szCs w:val="18"/>
          <w:u w:val="none"/>
        </w:rPr>
        <w:t>www.sop.si</w:t>
      </w:r>
    </w:hyperlink>
    <w:r w:rsidR="00C5163B" w:rsidRPr="00FB518B">
      <w:rPr>
        <w:sz w:val="18"/>
        <w:szCs w:val="18"/>
      </w:rPr>
      <w:t>, ID št. za DDV SI39155790, Matična št.: 5147344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6BFC98" w14:textId="77777777" w:rsidR="00A60AA9" w:rsidRPr="00FB518B" w:rsidRDefault="00D3721A" w:rsidP="00FB518B">
    <w:pPr>
      <w:pStyle w:val="Noga"/>
      <w:jc w:val="center"/>
      <w:rPr>
        <w:sz w:val="18"/>
        <w:szCs w:val="18"/>
      </w:rPr>
    </w:pPr>
    <w:r w:rsidRPr="00FB518B">
      <w:rPr>
        <w:sz w:val="18"/>
        <w:szCs w:val="18"/>
      </w:rPr>
      <w:t xml:space="preserve">Sklad obrtnikov in podjetnikov, Vošnjakova 6, 1000 Ljubljana, T: 080 1956, F: 01 431 83 03, </w:t>
    </w:r>
    <w:hyperlink r:id="rId1" w:history="1">
      <w:r w:rsidRPr="00FB518B">
        <w:rPr>
          <w:rStyle w:val="Hiperpovezava"/>
          <w:color w:val="auto"/>
          <w:sz w:val="18"/>
          <w:szCs w:val="18"/>
          <w:u w:val="none"/>
        </w:rPr>
        <w:t>info@sop.si</w:t>
      </w:r>
    </w:hyperlink>
  </w:p>
  <w:p w14:paraId="07C64749" w14:textId="77777777" w:rsidR="00BA2781" w:rsidRPr="00FB518B" w:rsidRDefault="00564396" w:rsidP="00FB518B">
    <w:pPr>
      <w:pStyle w:val="Noga"/>
      <w:jc w:val="center"/>
      <w:rPr>
        <w:sz w:val="18"/>
        <w:szCs w:val="18"/>
      </w:rPr>
    </w:pPr>
    <w:hyperlink r:id="rId2" w:history="1">
      <w:r w:rsidR="00D3721A" w:rsidRPr="00FB518B">
        <w:rPr>
          <w:rStyle w:val="Hiperpovezava"/>
          <w:color w:val="auto"/>
          <w:sz w:val="18"/>
          <w:szCs w:val="18"/>
          <w:u w:val="none"/>
        </w:rPr>
        <w:t>www.sop.si</w:t>
      </w:r>
    </w:hyperlink>
    <w:r w:rsidR="00D3721A" w:rsidRPr="00FB518B">
      <w:rPr>
        <w:sz w:val="18"/>
        <w:szCs w:val="18"/>
      </w:rPr>
      <w:t>, ID št. za DDV SI39155790, Matična št.: 5147344</w:t>
    </w:r>
    <w:r w:rsidR="00A01A3C">
      <w:rPr>
        <w:sz w:val="18"/>
        <w:szCs w:val="18"/>
      </w:rPr>
      <w:t>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7F1AEF" w14:textId="77777777" w:rsidR="00523E6E" w:rsidRDefault="00523E6E" w:rsidP="00FB518B">
      <w:r>
        <w:separator/>
      </w:r>
    </w:p>
  </w:footnote>
  <w:footnote w:type="continuationSeparator" w:id="0">
    <w:p w14:paraId="24A98A00" w14:textId="77777777" w:rsidR="00523E6E" w:rsidRDefault="00523E6E" w:rsidP="00FB51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C22D88" w14:textId="570EEDF3" w:rsidR="000B61D2" w:rsidRDefault="00B51FE5" w:rsidP="00B51FE5">
    <w:pPr>
      <w:pStyle w:val="Glava"/>
      <w:tabs>
        <w:tab w:val="clear" w:pos="9072"/>
        <w:tab w:val="left" w:pos="552"/>
        <w:tab w:val="right" w:pos="11055"/>
      </w:tabs>
      <w:ind w:right="-283"/>
    </w:pPr>
    <w:r>
      <w:tab/>
    </w:r>
    <w:r w:rsidRPr="002D157A">
      <w:rPr>
        <w:noProof/>
        <w:sz w:val="18"/>
        <w:szCs w:val="18"/>
      </w:rPr>
      <w:drawing>
        <wp:inline distT="0" distB="0" distL="0" distR="0" wp14:anchorId="69E6716B" wp14:editId="489A006B">
          <wp:extent cx="1044000" cy="421200"/>
          <wp:effectExtent l="0" t="0" r="3810" b="0"/>
          <wp:docPr id="7" name="Slika 7" descr="C:\Users\Tina\AppData\Local\Microsoft\Windows\Temporary Internet Files\Content.Outlook\GYQ7VM0T\SOP_logo_nepremazni_papir_pantone (002)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ina\AppData\Local\Microsoft\Windows\Temporary Internet Files\Content.Outlook\GYQ7VM0T\SOP_logo_nepremazni_papir_pantone (00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000" cy="42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</w:p>
  <w:p w14:paraId="3F59736D" w14:textId="77777777" w:rsidR="000B61D2" w:rsidRPr="00FB518B" w:rsidRDefault="000B61D2" w:rsidP="00A73B09">
    <w:pPr>
      <w:pStyle w:val="Glava"/>
      <w:jc w:val="right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3FEEBF" w14:textId="77777777" w:rsidR="00A60AA9" w:rsidRPr="00A60AA9" w:rsidRDefault="00FB518B" w:rsidP="00FB518B">
    <w:pPr>
      <w:pStyle w:val="Glava"/>
    </w:pPr>
    <w:r w:rsidRPr="002D157A">
      <w:rPr>
        <w:noProof/>
      </w:rPr>
      <w:drawing>
        <wp:inline distT="0" distB="0" distL="0" distR="0" wp14:anchorId="03F1E8E4" wp14:editId="7280288D">
          <wp:extent cx="1584000" cy="622800"/>
          <wp:effectExtent l="0" t="0" r="0" b="6350"/>
          <wp:docPr id="2" name="Slika 2" descr="C:\Users\Tina\AppData\Local\Microsoft\Windows\Temporary Internet Files\Content.Outlook\GYQ7VM0T\SOP_logo_nepremazni_papir_pantone (002)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ina\AppData\Local\Microsoft\Windows\Temporary Internet Files\Content.Outlook\GYQ7VM0T\SOP_logo_nepremazni_papir_pantone (00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000" cy="62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9608A"/>
    <w:multiLevelType w:val="hybridMultilevel"/>
    <w:tmpl w:val="D932E1CE"/>
    <w:lvl w:ilvl="0" w:tplc="0424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8220D2"/>
    <w:multiLevelType w:val="hybridMultilevel"/>
    <w:tmpl w:val="DFB2756A"/>
    <w:lvl w:ilvl="0" w:tplc="FBEC42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D17FD"/>
    <w:multiLevelType w:val="hybridMultilevel"/>
    <w:tmpl w:val="122EB4F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E5841"/>
    <w:multiLevelType w:val="hybridMultilevel"/>
    <w:tmpl w:val="EE1EB18E"/>
    <w:lvl w:ilvl="0" w:tplc="10A860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4FCC9808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4E1036"/>
    <w:multiLevelType w:val="hybridMultilevel"/>
    <w:tmpl w:val="822C78C8"/>
    <w:lvl w:ilvl="0" w:tplc="1E702A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1A1890"/>
    <w:multiLevelType w:val="hybridMultilevel"/>
    <w:tmpl w:val="EFC886D8"/>
    <w:lvl w:ilvl="0" w:tplc="8CFAF2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177896"/>
    <w:multiLevelType w:val="hybridMultilevel"/>
    <w:tmpl w:val="054CB58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B73010"/>
    <w:multiLevelType w:val="hybridMultilevel"/>
    <w:tmpl w:val="16285DDE"/>
    <w:lvl w:ilvl="0" w:tplc="0424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8" w15:restartNumberingAfterBreak="0">
    <w:nsid w:val="2DF12639"/>
    <w:multiLevelType w:val="hybridMultilevel"/>
    <w:tmpl w:val="AD32EB0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901377"/>
    <w:multiLevelType w:val="hybridMultilevel"/>
    <w:tmpl w:val="E39A119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AB423E"/>
    <w:multiLevelType w:val="hybridMultilevel"/>
    <w:tmpl w:val="6CFEC004"/>
    <w:lvl w:ilvl="0" w:tplc="FFB09A28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E446FB"/>
    <w:multiLevelType w:val="hybridMultilevel"/>
    <w:tmpl w:val="0134950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66262E"/>
    <w:multiLevelType w:val="multilevel"/>
    <w:tmpl w:val="559C91B8"/>
    <w:lvl w:ilvl="0">
      <w:start w:val="17"/>
      <w:numFmt w:val="decimal"/>
      <w:suff w:val="space"/>
      <w:lvlText w:val="%1.2.4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20"/>
      <w:numFmt w:val="decimal"/>
      <w:pStyle w:val="NavadenNONBOLD"/>
      <w:suff w:val="space"/>
      <w:lvlText w:val="%1.2.2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61C64FE"/>
    <w:multiLevelType w:val="hybridMultilevel"/>
    <w:tmpl w:val="128849B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C92D2A"/>
    <w:multiLevelType w:val="hybridMultilevel"/>
    <w:tmpl w:val="A5180D06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7E42C2E"/>
    <w:multiLevelType w:val="hybridMultilevel"/>
    <w:tmpl w:val="004A888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0017B7"/>
    <w:multiLevelType w:val="hybridMultilevel"/>
    <w:tmpl w:val="B34E3064"/>
    <w:lvl w:ilvl="0" w:tplc="EEFE119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CC603A"/>
    <w:multiLevelType w:val="hybridMultilevel"/>
    <w:tmpl w:val="D62E30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54003F"/>
    <w:multiLevelType w:val="hybridMultilevel"/>
    <w:tmpl w:val="7C5C7CC8"/>
    <w:lvl w:ilvl="0" w:tplc="F2A6949A">
      <w:start w:val="2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3" w:hanging="360"/>
      </w:pPr>
    </w:lvl>
    <w:lvl w:ilvl="2" w:tplc="0424001B" w:tentative="1">
      <w:start w:val="1"/>
      <w:numFmt w:val="lowerRoman"/>
      <w:lvlText w:val="%3."/>
      <w:lvlJc w:val="right"/>
      <w:pPr>
        <w:ind w:left="2083" w:hanging="180"/>
      </w:pPr>
    </w:lvl>
    <w:lvl w:ilvl="3" w:tplc="0424000F" w:tentative="1">
      <w:start w:val="1"/>
      <w:numFmt w:val="decimal"/>
      <w:lvlText w:val="%4."/>
      <w:lvlJc w:val="left"/>
      <w:pPr>
        <w:ind w:left="2803" w:hanging="360"/>
      </w:pPr>
    </w:lvl>
    <w:lvl w:ilvl="4" w:tplc="04240019" w:tentative="1">
      <w:start w:val="1"/>
      <w:numFmt w:val="lowerLetter"/>
      <w:lvlText w:val="%5."/>
      <w:lvlJc w:val="left"/>
      <w:pPr>
        <w:ind w:left="3523" w:hanging="360"/>
      </w:pPr>
    </w:lvl>
    <w:lvl w:ilvl="5" w:tplc="0424001B" w:tentative="1">
      <w:start w:val="1"/>
      <w:numFmt w:val="lowerRoman"/>
      <w:lvlText w:val="%6."/>
      <w:lvlJc w:val="right"/>
      <w:pPr>
        <w:ind w:left="4243" w:hanging="180"/>
      </w:pPr>
    </w:lvl>
    <w:lvl w:ilvl="6" w:tplc="0424000F" w:tentative="1">
      <w:start w:val="1"/>
      <w:numFmt w:val="decimal"/>
      <w:lvlText w:val="%7."/>
      <w:lvlJc w:val="left"/>
      <w:pPr>
        <w:ind w:left="4963" w:hanging="360"/>
      </w:pPr>
    </w:lvl>
    <w:lvl w:ilvl="7" w:tplc="04240019" w:tentative="1">
      <w:start w:val="1"/>
      <w:numFmt w:val="lowerLetter"/>
      <w:lvlText w:val="%8."/>
      <w:lvlJc w:val="left"/>
      <w:pPr>
        <w:ind w:left="5683" w:hanging="360"/>
      </w:pPr>
    </w:lvl>
    <w:lvl w:ilvl="8" w:tplc="0424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9" w15:restartNumberingAfterBreak="0">
    <w:nsid w:val="659B364A"/>
    <w:multiLevelType w:val="hybridMultilevel"/>
    <w:tmpl w:val="E9200DF8"/>
    <w:lvl w:ilvl="0" w:tplc="042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74257C54"/>
    <w:multiLevelType w:val="hybridMultilevel"/>
    <w:tmpl w:val="103A04BA"/>
    <w:lvl w:ilvl="0" w:tplc="04240019">
      <w:start w:val="1"/>
      <w:numFmt w:val="lowerLetter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C1760E5"/>
    <w:multiLevelType w:val="hybridMultilevel"/>
    <w:tmpl w:val="F5C0807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9"/>
  </w:num>
  <w:num w:numId="6">
    <w:abstractNumId w:val="11"/>
  </w:num>
  <w:num w:numId="7">
    <w:abstractNumId w:val="8"/>
  </w:num>
  <w:num w:numId="8">
    <w:abstractNumId w:val="15"/>
  </w:num>
  <w:num w:numId="9">
    <w:abstractNumId w:val="16"/>
  </w:num>
  <w:num w:numId="10">
    <w:abstractNumId w:val="14"/>
  </w:num>
  <w:num w:numId="11">
    <w:abstractNumId w:val="19"/>
  </w:num>
  <w:num w:numId="12">
    <w:abstractNumId w:val="7"/>
  </w:num>
  <w:num w:numId="13">
    <w:abstractNumId w:val="17"/>
  </w:num>
  <w:num w:numId="14">
    <w:abstractNumId w:val="2"/>
  </w:num>
  <w:num w:numId="15">
    <w:abstractNumId w:val="3"/>
  </w:num>
  <w:num w:numId="16">
    <w:abstractNumId w:val="13"/>
  </w:num>
  <w:num w:numId="17">
    <w:abstractNumId w:val="20"/>
  </w:num>
  <w:num w:numId="18">
    <w:abstractNumId w:val="12"/>
  </w:num>
  <w:num w:numId="19">
    <w:abstractNumId w:val="21"/>
  </w:num>
  <w:num w:numId="20">
    <w:abstractNumId w:val="5"/>
  </w:num>
  <w:num w:numId="21">
    <w:abstractNumId w:val="18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A3C"/>
    <w:rsid w:val="00010D87"/>
    <w:rsid w:val="00020326"/>
    <w:rsid w:val="00057BA6"/>
    <w:rsid w:val="00072961"/>
    <w:rsid w:val="00076761"/>
    <w:rsid w:val="00077539"/>
    <w:rsid w:val="00085A2D"/>
    <w:rsid w:val="000A5FD8"/>
    <w:rsid w:val="000A7269"/>
    <w:rsid w:val="000B37F3"/>
    <w:rsid w:val="000B61D2"/>
    <w:rsid w:val="000C25DE"/>
    <w:rsid w:val="000C66C4"/>
    <w:rsid w:val="000D5F4F"/>
    <w:rsid w:val="000E292C"/>
    <w:rsid w:val="000E2D8E"/>
    <w:rsid w:val="000F3AEB"/>
    <w:rsid w:val="00100CD3"/>
    <w:rsid w:val="001016B0"/>
    <w:rsid w:val="001018C9"/>
    <w:rsid w:val="00101C6A"/>
    <w:rsid w:val="001062C2"/>
    <w:rsid w:val="001068DC"/>
    <w:rsid w:val="0010791F"/>
    <w:rsid w:val="00123D5D"/>
    <w:rsid w:val="00143C23"/>
    <w:rsid w:val="00150458"/>
    <w:rsid w:val="00155504"/>
    <w:rsid w:val="00161D0C"/>
    <w:rsid w:val="00166701"/>
    <w:rsid w:val="0016781A"/>
    <w:rsid w:val="0018229F"/>
    <w:rsid w:val="001829E7"/>
    <w:rsid w:val="00186360"/>
    <w:rsid w:val="00187EA8"/>
    <w:rsid w:val="00190BDC"/>
    <w:rsid w:val="001915F8"/>
    <w:rsid w:val="001A1C59"/>
    <w:rsid w:val="001C7C9A"/>
    <w:rsid w:val="001D4AD1"/>
    <w:rsid w:val="001D566A"/>
    <w:rsid w:val="001E6E6E"/>
    <w:rsid w:val="001F2948"/>
    <w:rsid w:val="001F7588"/>
    <w:rsid w:val="001F7F99"/>
    <w:rsid w:val="00201A15"/>
    <w:rsid w:val="00214437"/>
    <w:rsid w:val="002244A0"/>
    <w:rsid w:val="0023260D"/>
    <w:rsid w:val="00233AD8"/>
    <w:rsid w:val="002358A7"/>
    <w:rsid w:val="00245A77"/>
    <w:rsid w:val="00261086"/>
    <w:rsid w:val="00266F88"/>
    <w:rsid w:val="00272CCD"/>
    <w:rsid w:val="00274A68"/>
    <w:rsid w:val="0028089D"/>
    <w:rsid w:val="002844E2"/>
    <w:rsid w:val="00287118"/>
    <w:rsid w:val="002878D0"/>
    <w:rsid w:val="002B137D"/>
    <w:rsid w:val="002B57AD"/>
    <w:rsid w:val="002C691B"/>
    <w:rsid w:val="002D2218"/>
    <w:rsid w:val="002D2F08"/>
    <w:rsid w:val="002D7344"/>
    <w:rsid w:val="002E3858"/>
    <w:rsid w:val="002F7316"/>
    <w:rsid w:val="00300414"/>
    <w:rsid w:val="00323392"/>
    <w:rsid w:val="00330E11"/>
    <w:rsid w:val="00331129"/>
    <w:rsid w:val="00331B52"/>
    <w:rsid w:val="00334DBC"/>
    <w:rsid w:val="003414BD"/>
    <w:rsid w:val="003414D6"/>
    <w:rsid w:val="003634BF"/>
    <w:rsid w:val="00367AD7"/>
    <w:rsid w:val="0037445A"/>
    <w:rsid w:val="003960AA"/>
    <w:rsid w:val="003B505F"/>
    <w:rsid w:val="003C1D05"/>
    <w:rsid w:val="003C342E"/>
    <w:rsid w:val="003E12DA"/>
    <w:rsid w:val="003E2013"/>
    <w:rsid w:val="003E21DB"/>
    <w:rsid w:val="003F52A0"/>
    <w:rsid w:val="00401D70"/>
    <w:rsid w:val="004058FD"/>
    <w:rsid w:val="00414725"/>
    <w:rsid w:val="0042586F"/>
    <w:rsid w:val="00432600"/>
    <w:rsid w:val="0043759C"/>
    <w:rsid w:val="004419A7"/>
    <w:rsid w:val="0044329D"/>
    <w:rsid w:val="004433B6"/>
    <w:rsid w:val="0047311C"/>
    <w:rsid w:val="00476790"/>
    <w:rsid w:val="0047778F"/>
    <w:rsid w:val="00485C53"/>
    <w:rsid w:val="004A0679"/>
    <w:rsid w:val="004A1DDC"/>
    <w:rsid w:val="004A5FA8"/>
    <w:rsid w:val="004A7C0F"/>
    <w:rsid w:val="004B0945"/>
    <w:rsid w:val="004B73B6"/>
    <w:rsid w:val="004C0D3F"/>
    <w:rsid w:val="004D4B13"/>
    <w:rsid w:val="004D54B3"/>
    <w:rsid w:val="00502393"/>
    <w:rsid w:val="00506B1D"/>
    <w:rsid w:val="00523E6E"/>
    <w:rsid w:val="00535C62"/>
    <w:rsid w:val="00542BA4"/>
    <w:rsid w:val="0054679F"/>
    <w:rsid w:val="005530FC"/>
    <w:rsid w:val="0055356C"/>
    <w:rsid w:val="00564396"/>
    <w:rsid w:val="00567F86"/>
    <w:rsid w:val="0057787D"/>
    <w:rsid w:val="00577A37"/>
    <w:rsid w:val="00585C08"/>
    <w:rsid w:val="005943A5"/>
    <w:rsid w:val="005A0BFE"/>
    <w:rsid w:val="005A16C1"/>
    <w:rsid w:val="005A1E29"/>
    <w:rsid w:val="005A2829"/>
    <w:rsid w:val="005A63DE"/>
    <w:rsid w:val="005C227B"/>
    <w:rsid w:val="005D6792"/>
    <w:rsid w:val="005E540F"/>
    <w:rsid w:val="005E712D"/>
    <w:rsid w:val="005F4066"/>
    <w:rsid w:val="00602F79"/>
    <w:rsid w:val="00604789"/>
    <w:rsid w:val="006141D1"/>
    <w:rsid w:val="006172E6"/>
    <w:rsid w:val="00623446"/>
    <w:rsid w:val="00623FF0"/>
    <w:rsid w:val="0063249C"/>
    <w:rsid w:val="00636FA9"/>
    <w:rsid w:val="00642357"/>
    <w:rsid w:val="00643463"/>
    <w:rsid w:val="00653EDF"/>
    <w:rsid w:val="00653FC2"/>
    <w:rsid w:val="006546BA"/>
    <w:rsid w:val="00657066"/>
    <w:rsid w:val="006737F1"/>
    <w:rsid w:val="00677EEC"/>
    <w:rsid w:val="00681B55"/>
    <w:rsid w:val="006869E1"/>
    <w:rsid w:val="00691622"/>
    <w:rsid w:val="00696580"/>
    <w:rsid w:val="006978E5"/>
    <w:rsid w:val="006B41F2"/>
    <w:rsid w:val="006C2478"/>
    <w:rsid w:val="006C6F8E"/>
    <w:rsid w:val="006D69E5"/>
    <w:rsid w:val="00701042"/>
    <w:rsid w:val="00703308"/>
    <w:rsid w:val="007101BF"/>
    <w:rsid w:val="0072154E"/>
    <w:rsid w:val="00722EDF"/>
    <w:rsid w:val="00747CBC"/>
    <w:rsid w:val="00752AC3"/>
    <w:rsid w:val="00752D8A"/>
    <w:rsid w:val="00762283"/>
    <w:rsid w:val="007B0ACB"/>
    <w:rsid w:val="007B1384"/>
    <w:rsid w:val="007B4DA2"/>
    <w:rsid w:val="007B76D6"/>
    <w:rsid w:val="007D40F6"/>
    <w:rsid w:val="007D7E18"/>
    <w:rsid w:val="007E1A56"/>
    <w:rsid w:val="007E5272"/>
    <w:rsid w:val="007E6606"/>
    <w:rsid w:val="007E679A"/>
    <w:rsid w:val="00802F40"/>
    <w:rsid w:val="008131B8"/>
    <w:rsid w:val="0082553A"/>
    <w:rsid w:val="0083340A"/>
    <w:rsid w:val="00845BF7"/>
    <w:rsid w:val="00846DE4"/>
    <w:rsid w:val="00851915"/>
    <w:rsid w:val="00856198"/>
    <w:rsid w:val="00871539"/>
    <w:rsid w:val="00872291"/>
    <w:rsid w:val="008736CE"/>
    <w:rsid w:val="00873B8D"/>
    <w:rsid w:val="0088083E"/>
    <w:rsid w:val="008B0A15"/>
    <w:rsid w:val="008B29AB"/>
    <w:rsid w:val="008B33F6"/>
    <w:rsid w:val="008B79A8"/>
    <w:rsid w:val="008D223F"/>
    <w:rsid w:val="008D5297"/>
    <w:rsid w:val="008D6B61"/>
    <w:rsid w:val="008E12D4"/>
    <w:rsid w:val="008E192E"/>
    <w:rsid w:val="008E6A14"/>
    <w:rsid w:val="008F42E3"/>
    <w:rsid w:val="008F5C29"/>
    <w:rsid w:val="00904F51"/>
    <w:rsid w:val="00917A21"/>
    <w:rsid w:val="0092062C"/>
    <w:rsid w:val="0092104C"/>
    <w:rsid w:val="00921E7E"/>
    <w:rsid w:val="0092631F"/>
    <w:rsid w:val="0096311D"/>
    <w:rsid w:val="009724D2"/>
    <w:rsid w:val="0097359B"/>
    <w:rsid w:val="0097472C"/>
    <w:rsid w:val="00992C3B"/>
    <w:rsid w:val="009B0198"/>
    <w:rsid w:val="009B464E"/>
    <w:rsid w:val="009B71C6"/>
    <w:rsid w:val="009C5FB1"/>
    <w:rsid w:val="009D0601"/>
    <w:rsid w:val="009D7BC5"/>
    <w:rsid w:val="009E063B"/>
    <w:rsid w:val="009E2684"/>
    <w:rsid w:val="009E3AEF"/>
    <w:rsid w:val="00A01A3C"/>
    <w:rsid w:val="00A224F6"/>
    <w:rsid w:val="00A25502"/>
    <w:rsid w:val="00A25509"/>
    <w:rsid w:val="00A25B46"/>
    <w:rsid w:val="00A43D30"/>
    <w:rsid w:val="00A50075"/>
    <w:rsid w:val="00A60A76"/>
    <w:rsid w:val="00A6510C"/>
    <w:rsid w:val="00A67205"/>
    <w:rsid w:val="00A70F3E"/>
    <w:rsid w:val="00A73B09"/>
    <w:rsid w:val="00A95A1D"/>
    <w:rsid w:val="00A962B4"/>
    <w:rsid w:val="00AA277C"/>
    <w:rsid w:val="00AD40B4"/>
    <w:rsid w:val="00AE1FFC"/>
    <w:rsid w:val="00AE7D1A"/>
    <w:rsid w:val="00AF5166"/>
    <w:rsid w:val="00B06659"/>
    <w:rsid w:val="00B11428"/>
    <w:rsid w:val="00B12C84"/>
    <w:rsid w:val="00B21072"/>
    <w:rsid w:val="00B23E94"/>
    <w:rsid w:val="00B25903"/>
    <w:rsid w:val="00B2693C"/>
    <w:rsid w:val="00B34D2B"/>
    <w:rsid w:val="00B51FE5"/>
    <w:rsid w:val="00B622D6"/>
    <w:rsid w:val="00B65752"/>
    <w:rsid w:val="00B86FA9"/>
    <w:rsid w:val="00BB0401"/>
    <w:rsid w:val="00BD2AC4"/>
    <w:rsid w:val="00BD55A2"/>
    <w:rsid w:val="00BE2C11"/>
    <w:rsid w:val="00BE329C"/>
    <w:rsid w:val="00C03336"/>
    <w:rsid w:val="00C07ED2"/>
    <w:rsid w:val="00C1511A"/>
    <w:rsid w:val="00C30A30"/>
    <w:rsid w:val="00C368E9"/>
    <w:rsid w:val="00C4101D"/>
    <w:rsid w:val="00C432B3"/>
    <w:rsid w:val="00C5163B"/>
    <w:rsid w:val="00C55EA3"/>
    <w:rsid w:val="00C6203D"/>
    <w:rsid w:val="00C679E3"/>
    <w:rsid w:val="00C7155F"/>
    <w:rsid w:val="00C74986"/>
    <w:rsid w:val="00C81010"/>
    <w:rsid w:val="00C82C7B"/>
    <w:rsid w:val="00C960C2"/>
    <w:rsid w:val="00CB2BF5"/>
    <w:rsid w:val="00CC48EC"/>
    <w:rsid w:val="00CC5979"/>
    <w:rsid w:val="00CF37FD"/>
    <w:rsid w:val="00CF4960"/>
    <w:rsid w:val="00D06B8A"/>
    <w:rsid w:val="00D1723D"/>
    <w:rsid w:val="00D17522"/>
    <w:rsid w:val="00D273B5"/>
    <w:rsid w:val="00D3613A"/>
    <w:rsid w:val="00D3721A"/>
    <w:rsid w:val="00D520FE"/>
    <w:rsid w:val="00D53F2A"/>
    <w:rsid w:val="00D565E7"/>
    <w:rsid w:val="00D707BA"/>
    <w:rsid w:val="00D80940"/>
    <w:rsid w:val="00D90784"/>
    <w:rsid w:val="00DA2CA7"/>
    <w:rsid w:val="00DA2D41"/>
    <w:rsid w:val="00DB0A8D"/>
    <w:rsid w:val="00DB1480"/>
    <w:rsid w:val="00DB4E66"/>
    <w:rsid w:val="00DB5B23"/>
    <w:rsid w:val="00DB6F76"/>
    <w:rsid w:val="00DC452D"/>
    <w:rsid w:val="00DC5577"/>
    <w:rsid w:val="00DC7203"/>
    <w:rsid w:val="00DE42F5"/>
    <w:rsid w:val="00DF71A5"/>
    <w:rsid w:val="00E04BD8"/>
    <w:rsid w:val="00E20F15"/>
    <w:rsid w:val="00E35E21"/>
    <w:rsid w:val="00E44BFE"/>
    <w:rsid w:val="00E71416"/>
    <w:rsid w:val="00E7407A"/>
    <w:rsid w:val="00E80716"/>
    <w:rsid w:val="00E91F53"/>
    <w:rsid w:val="00E96BFB"/>
    <w:rsid w:val="00EA4DD4"/>
    <w:rsid w:val="00EA55FD"/>
    <w:rsid w:val="00EC2876"/>
    <w:rsid w:val="00ED51B9"/>
    <w:rsid w:val="00ED6AF5"/>
    <w:rsid w:val="00ED7D88"/>
    <w:rsid w:val="00EF0908"/>
    <w:rsid w:val="00F02538"/>
    <w:rsid w:val="00F029F8"/>
    <w:rsid w:val="00F31942"/>
    <w:rsid w:val="00F3664C"/>
    <w:rsid w:val="00F41A90"/>
    <w:rsid w:val="00F44645"/>
    <w:rsid w:val="00F51DF0"/>
    <w:rsid w:val="00F66919"/>
    <w:rsid w:val="00F746F9"/>
    <w:rsid w:val="00F84173"/>
    <w:rsid w:val="00F84253"/>
    <w:rsid w:val="00FB27FA"/>
    <w:rsid w:val="00FB518B"/>
    <w:rsid w:val="00FC2806"/>
    <w:rsid w:val="00FD48FA"/>
    <w:rsid w:val="00FE081B"/>
    <w:rsid w:val="00FE7DF7"/>
    <w:rsid w:val="00FF0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6625"/>
    <o:shapelayout v:ext="edit">
      <o:idmap v:ext="edit" data="1"/>
    </o:shapelayout>
  </w:shapeDefaults>
  <w:decimalSymbol w:val=","/>
  <w:listSeparator w:val=";"/>
  <w14:docId w14:val="5F2C9ED6"/>
  <w15:docId w15:val="{1282B601-5970-47CE-829B-75CBFB594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B518B"/>
    <w:rPr>
      <w:rFonts w:ascii="Arial" w:hAnsi="Arial" w:cs="Times New Roman"/>
      <w:lang w:eastAsia="sl-SI"/>
    </w:rPr>
  </w:style>
  <w:style w:type="paragraph" w:styleId="Naslov1">
    <w:name w:val="heading 1"/>
    <w:basedOn w:val="Navaden"/>
    <w:next w:val="Navaden"/>
    <w:link w:val="Naslov1Znak"/>
    <w:autoRedefine/>
    <w:uiPriority w:val="9"/>
    <w:qFormat/>
    <w:rsid w:val="003E21DB"/>
    <w:pPr>
      <w:keepNext/>
      <w:keepLines/>
      <w:spacing w:before="240"/>
      <w:jc w:val="center"/>
      <w:outlineLvl w:val="0"/>
    </w:pPr>
    <w:rPr>
      <w:rFonts w:cstheme="minorBidi"/>
      <w:b/>
      <w:sz w:val="28"/>
      <w:szCs w:val="3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3E21DB"/>
    <w:rPr>
      <w:rFonts w:ascii="Arial" w:hAnsi="Arial"/>
      <w:b/>
      <w:sz w:val="28"/>
      <w:szCs w:val="32"/>
    </w:rPr>
  </w:style>
  <w:style w:type="paragraph" w:styleId="Glava">
    <w:name w:val="header"/>
    <w:basedOn w:val="Navaden"/>
    <w:link w:val="GlavaZnak"/>
    <w:uiPriority w:val="99"/>
    <w:unhideWhenUsed/>
    <w:rsid w:val="00DA2CA7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A2CA7"/>
    <w:rPr>
      <w:rFonts w:ascii="Arial" w:hAnsi="Arial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DA2CA7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A2CA7"/>
    <w:rPr>
      <w:rFonts w:ascii="Arial" w:hAnsi="Arial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DA2CA7"/>
    <w:rPr>
      <w:color w:val="0563C1" w:themeColor="hyperlink"/>
      <w:u w:val="single"/>
    </w:rPr>
  </w:style>
  <w:style w:type="table" w:styleId="Tabelamrea">
    <w:name w:val="Table Grid"/>
    <w:basedOn w:val="Navadnatabela"/>
    <w:uiPriority w:val="39"/>
    <w:rsid w:val="00DA2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740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7407A"/>
    <w:rPr>
      <w:rFonts w:ascii="Segoe UI" w:hAnsi="Segoe UI" w:cs="Segoe UI"/>
      <w:sz w:val="18"/>
      <w:szCs w:val="18"/>
      <w:lang w:eastAsia="sl-SI"/>
    </w:rPr>
  </w:style>
  <w:style w:type="paragraph" w:styleId="Telobesedila">
    <w:name w:val="Body Text"/>
    <w:basedOn w:val="Navaden"/>
    <w:link w:val="TelobesedilaZnak"/>
    <w:rsid w:val="008D223F"/>
    <w:pPr>
      <w:spacing w:before="4" w:line="240" w:lineRule="auto"/>
    </w:pPr>
    <w:rPr>
      <w:rFonts w:ascii="Times New Roman" w:hAnsi="Times New Roman"/>
      <w:sz w:val="24"/>
      <w:szCs w:val="24"/>
    </w:rPr>
  </w:style>
  <w:style w:type="character" w:customStyle="1" w:styleId="TelobesedilaZnak">
    <w:name w:val="Telo besedila Znak"/>
    <w:basedOn w:val="Privzetapisavaodstavka"/>
    <w:link w:val="Telobesedila"/>
    <w:rsid w:val="008D223F"/>
    <w:rPr>
      <w:rFonts w:ascii="Times New Roman" w:hAnsi="Times New Roman" w:cs="Times New Roman"/>
      <w:sz w:val="24"/>
      <w:szCs w:val="24"/>
      <w:lang w:eastAsia="sl-SI"/>
    </w:rPr>
  </w:style>
  <w:style w:type="paragraph" w:styleId="Telobesedila2">
    <w:name w:val="Body Text 2"/>
    <w:basedOn w:val="Navaden"/>
    <w:link w:val="Telobesedila2Znak"/>
    <w:rsid w:val="008D223F"/>
    <w:pPr>
      <w:spacing w:before="48" w:line="240" w:lineRule="auto"/>
    </w:pPr>
    <w:rPr>
      <w:rFonts w:cs="Arial"/>
      <w:b/>
      <w:bCs/>
      <w:szCs w:val="24"/>
    </w:rPr>
  </w:style>
  <w:style w:type="character" w:customStyle="1" w:styleId="Telobesedila2Znak">
    <w:name w:val="Telo besedila 2 Znak"/>
    <w:basedOn w:val="Privzetapisavaodstavka"/>
    <w:link w:val="Telobesedila2"/>
    <w:rsid w:val="008D223F"/>
    <w:rPr>
      <w:rFonts w:ascii="Arial" w:hAnsi="Arial" w:cs="Arial"/>
      <w:b/>
      <w:bCs/>
      <w:szCs w:val="24"/>
      <w:lang w:eastAsia="sl-SI"/>
    </w:rPr>
  </w:style>
  <w:style w:type="paragraph" w:styleId="Telobesedila-zamik">
    <w:name w:val="Body Text Indent"/>
    <w:basedOn w:val="Navaden"/>
    <w:link w:val="Telobesedila-zamikZnak"/>
    <w:rsid w:val="008D223F"/>
    <w:pPr>
      <w:spacing w:after="120" w:line="240" w:lineRule="auto"/>
      <w:ind w:left="283"/>
    </w:pPr>
    <w:rPr>
      <w:rFonts w:ascii="Times New Roman" w:hAnsi="Times New Roman"/>
      <w:sz w:val="24"/>
      <w:szCs w:val="20"/>
    </w:rPr>
  </w:style>
  <w:style w:type="character" w:customStyle="1" w:styleId="Telobesedila-zamikZnak">
    <w:name w:val="Telo besedila - zamik Znak"/>
    <w:basedOn w:val="Privzetapisavaodstavka"/>
    <w:link w:val="Telobesedila-zamik"/>
    <w:rsid w:val="008D223F"/>
    <w:rPr>
      <w:rFonts w:ascii="Times New Roman" w:hAnsi="Times New Roman" w:cs="Times New Roman"/>
      <w:sz w:val="24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636FA9"/>
    <w:pPr>
      <w:ind w:left="720"/>
      <w:contextualSpacing/>
    </w:pPr>
  </w:style>
  <w:style w:type="paragraph" w:styleId="Navadensplet">
    <w:name w:val="Normal (Web)"/>
    <w:basedOn w:val="Navaden"/>
    <w:rsid w:val="00856198"/>
    <w:pPr>
      <w:spacing w:line="240" w:lineRule="auto"/>
    </w:pPr>
    <w:rPr>
      <w:rFonts w:ascii="Times New Roman" w:hAnsi="Times New Roman"/>
      <w:spacing w:val="-5"/>
      <w:sz w:val="24"/>
      <w:szCs w:val="24"/>
      <w:lang w:eastAsia="en-US" w:bidi="he-IL"/>
    </w:rPr>
  </w:style>
  <w:style w:type="character" w:styleId="Pripombasklic">
    <w:name w:val="annotation reference"/>
    <w:basedOn w:val="Privzetapisavaodstavka"/>
    <w:uiPriority w:val="99"/>
    <w:semiHidden/>
    <w:unhideWhenUsed/>
    <w:rsid w:val="00C6203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C6203D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C6203D"/>
    <w:rPr>
      <w:rFonts w:ascii="Arial" w:hAnsi="Arial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6203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6203D"/>
    <w:rPr>
      <w:rFonts w:ascii="Arial" w:hAnsi="Arial" w:cs="Times New Roman"/>
      <w:b/>
      <w:bCs/>
      <w:sz w:val="20"/>
      <w:szCs w:val="20"/>
      <w:lang w:eastAsia="sl-SI"/>
    </w:rPr>
  </w:style>
  <w:style w:type="paragraph" w:customStyle="1" w:styleId="NavadenNONBOLD">
    <w:name w:val="NavadenNONBOLD"/>
    <w:basedOn w:val="Navaden"/>
    <w:rsid w:val="0088083E"/>
    <w:pPr>
      <w:numPr>
        <w:ilvl w:val="2"/>
        <w:numId w:val="18"/>
      </w:numPr>
      <w:spacing w:line="240" w:lineRule="auto"/>
    </w:pPr>
    <w:rPr>
      <w:rFonts w:ascii="Arial Narrow" w:hAnsi="Arial Narrow"/>
      <w:sz w:val="24"/>
      <w:szCs w:val="24"/>
    </w:rPr>
  </w:style>
  <w:style w:type="paragraph" w:customStyle="1" w:styleId="Slog">
    <w:name w:val="Slog"/>
    <w:rsid w:val="009B019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4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p.si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p.si" TargetMode="External"/><Relationship Id="rId1" Type="http://schemas.openxmlformats.org/officeDocument/2006/relationships/hyperlink" Target="mailto:info@sop.si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p.si" TargetMode="External"/><Relationship Id="rId1" Type="http://schemas.openxmlformats.org/officeDocument/2006/relationships/hyperlink" Target="mailto:info@sop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BD3380F-2EB3-4622-9738-19D7E1A71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1655</Words>
  <Characters>9434</Characters>
  <Application>Microsoft Office Word</Application>
  <DocSecurity>4</DocSecurity>
  <Lines>78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SOP</Company>
  <LinksUpToDate>false</LinksUpToDate>
  <CharactersWithSpaces>11067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Požar</dc:creator>
  <cp:lastModifiedBy>Microsoftov račun</cp:lastModifiedBy>
  <cp:revision>2</cp:revision>
  <cp:lastPrinted>2021-07-01T06:28:00Z</cp:lastPrinted>
  <dcterms:created xsi:type="dcterms:W3CDTF">2021-07-08T05:55:00Z</dcterms:created>
  <dcterms:modified xsi:type="dcterms:W3CDTF">2021-07-08T05:55:00Z</dcterms:modified>
</cp:coreProperties>
</file>